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F5F7" w14:textId="77777777" w:rsidR="00994D15" w:rsidRDefault="00D00D74" w:rsidP="00B23D5E">
      <w:pPr>
        <w:pBdr>
          <w:top w:val="nil"/>
          <w:left w:val="nil"/>
          <w:bottom w:val="nil"/>
          <w:right w:val="nil"/>
          <w:between w:val="nil"/>
        </w:pBdr>
        <w:tabs>
          <w:tab w:val="left" w:pos="4896"/>
        </w:tabs>
        <w:spacing w:after="120" w:line="360" w:lineRule="auto"/>
        <w:jc w:val="both"/>
        <w:rPr>
          <w:rFonts w:ascii="Arial" w:eastAsia="Arial" w:hAnsi="Arial" w:cs="Arial"/>
          <w:b/>
          <w:color w:val="010000"/>
          <w:sz w:val="20"/>
          <w:szCs w:val="20"/>
        </w:rPr>
      </w:pPr>
      <w:r>
        <w:rPr>
          <w:rFonts w:ascii="Arial" w:hAnsi="Arial"/>
          <w:b/>
          <w:color w:val="010000"/>
          <w:sz w:val="20"/>
        </w:rPr>
        <w:t>VHE: Annual General Mandate 2024</w:t>
      </w:r>
    </w:p>
    <w:p w14:paraId="248D047C" w14:textId="77777777" w:rsidR="00994D15" w:rsidRDefault="00D00D74" w:rsidP="00B23D5E">
      <w:pPr>
        <w:pBdr>
          <w:top w:val="nil"/>
          <w:left w:val="nil"/>
          <w:bottom w:val="nil"/>
          <w:right w:val="nil"/>
          <w:between w:val="nil"/>
        </w:pBdr>
        <w:tabs>
          <w:tab w:val="left" w:pos="4896"/>
        </w:tabs>
        <w:spacing w:after="120" w:line="360" w:lineRule="auto"/>
        <w:jc w:val="both"/>
        <w:rPr>
          <w:rFonts w:ascii="Arial" w:eastAsia="Arial" w:hAnsi="Arial" w:cs="Arial"/>
          <w:color w:val="010000"/>
          <w:sz w:val="20"/>
          <w:szCs w:val="20"/>
        </w:rPr>
      </w:pPr>
      <w:r>
        <w:rPr>
          <w:rFonts w:ascii="Arial" w:hAnsi="Arial"/>
          <w:color w:val="010000"/>
          <w:sz w:val="20"/>
        </w:rPr>
        <w:t xml:space="preserve">On June 26, 2024, </w:t>
      </w:r>
      <w:proofErr w:type="spellStart"/>
      <w:r>
        <w:rPr>
          <w:rFonts w:ascii="Arial" w:hAnsi="Arial"/>
          <w:color w:val="010000"/>
          <w:sz w:val="20"/>
        </w:rPr>
        <w:t>Vinaherbfoods</w:t>
      </w:r>
      <w:proofErr w:type="spellEnd"/>
      <w:r>
        <w:rPr>
          <w:rFonts w:ascii="Arial" w:hAnsi="Arial"/>
          <w:color w:val="010000"/>
          <w:sz w:val="20"/>
        </w:rPr>
        <w:t xml:space="preserve"> Joint Stock Company announced General Mandate No. 2606/2024/NQ-DHDCD/VHE as follows: </w:t>
      </w:r>
    </w:p>
    <w:p w14:paraId="50F1D745"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activities of the Board of Directors in 2023 and the orientation for 2024.</w:t>
      </w:r>
    </w:p>
    <w:p w14:paraId="68DC642E" w14:textId="4DBF8344"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of the </w:t>
      </w:r>
      <w:r w:rsidR="00B23D5E">
        <w:rPr>
          <w:rFonts w:ascii="Arial" w:hAnsi="Arial"/>
          <w:color w:val="010000"/>
          <w:sz w:val="20"/>
        </w:rPr>
        <w:t>Executive Board</w:t>
      </w:r>
      <w:r>
        <w:rPr>
          <w:rFonts w:ascii="Arial" w:hAnsi="Arial"/>
          <w:color w:val="010000"/>
          <w:sz w:val="20"/>
        </w:rPr>
        <w:t xml:space="preserve"> on the production and business results in 2023 and the plan for 2024.</w:t>
      </w:r>
    </w:p>
    <w:p w14:paraId="69FC2B0D" w14:textId="77777777" w:rsidR="00994D15" w:rsidRDefault="00D00D74" w:rsidP="00B23D5E">
      <w:pPr>
        <w:numPr>
          <w:ilvl w:val="0"/>
          <w:numId w:val="2"/>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t>Results of production and business activities in 2023</w:t>
      </w:r>
    </w:p>
    <w:p w14:paraId="0A0C729C" w14:textId="77777777" w:rsidR="00994D15" w:rsidRDefault="00D00D74">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3004"/>
        <w:gridCol w:w="1982"/>
        <w:gridCol w:w="1803"/>
        <w:gridCol w:w="1515"/>
      </w:tblGrid>
      <w:tr w:rsidR="00994D15" w14:paraId="6E69EBC1" w14:textId="77777777">
        <w:tc>
          <w:tcPr>
            <w:tcW w:w="713" w:type="dxa"/>
            <w:shd w:val="clear" w:color="auto" w:fill="auto"/>
            <w:tcMar>
              <w:top w:w="0" w:type="dxa"/>
              <w:bottom w:w="0" w:type="dxa"/>
            </w:tcMar>
            <w:vAlign w:val="center"/>
          </w:tcPr>
          <w:p w14:paraId="1A9578D5"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04" w:type="dxa"/>
            <w:shd w:val="clear" w:color="auto" w:fill="auto"/>
            <w:tcMar>
              <w:top w:w="0" w:type="dxa"/>
              <w:bottom w:w="0" w:type="dxa"/>
            </w:tcMar>
            <w:vAlign w:val="center"/>
          </w:tcPr>
          <w:p w14:paraId="734932A8"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982" w:type="dxa"/>
            <w:shd w:val="clear" w:color="auto" w:fill="auto"/>
            <w:tcMar>
              <w:top w:w="0" w:type="dxa"/>
              <w:bottom w:w="0" w:type="dxa"/>
            </w:tcMar>
            <w:vAlign w:val="center"/>
          </w:tcPr>
          <w:p w14:paraId="5A294879"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803" w:type="dxa"/>
            <w:shd w:val="clear" w:color="auto" w:fill="auto"/>
            <w:tcMar>
              <w:top w:w="0" w:type="dxa"/>
              <w:bottom w:w="0" w:type="dxa"/>
            </w:tcMar>
            <w:vAlign w:val="center"/>
          </w:tcPr>
          <w:p w14:paraId="7CCE2418"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2022</w:t>
            </w:r>
          </w:p>
        </w:tc>
        <w:tc>
          <w:tcPr>
            <w:tcW w:w="1515" w:type="dxa"/>
            <w:shd w:val="clear" w:color="auto" w:fill="auto"/>
            <w:tcMar>
              <w:top w:w="0" w:type="dxa"/>
              <w:bottom w:w="0" w:type="dxa"/>
            </w:tcMar>
            <w:vAlign w:val="center"/>
          </w:tcPr>
          <w:p w14:paraId="0B4B9A44"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 2023/ Results 2022</w:t>
            </w:r>
          </w:p>
        </w:tc>
      </w:tr>
      <w:tr w:rsidR="00994D15" w14:paraId="5640E80D" w14:textId="77777777">
        <w:tc>
          <w:tcPr>
            <w:tcW w:w="713" w:type="dxa"/>
            <w:shd w:val="clear" w:color="auto" w:fill="auto"/>
            <w:tcMar>
              <w:top w:w="0" w:type="dxa"/>
              <w:bottom w:w="0" w:type="dxa"/>
            </w:tcMar>
            <w:vAlign w:val="center"/>
          </w:tcPr>
          <w:p w14:paraId="70864F22"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04" w:type="dxa"/>
            <w:shd w:val="clear" w:color="auto" w:fill="auto"/>
            <w:tcMar>
              <w:top w:w="0" w:type="dxa"/>
              <w:bottom w:w="0" w:type="dxa"/>
            </w:tcMar>
            <w:vAlign w:val="center"/>
          </w:tcPr>
          <w:p w14:paraId="6B96CDA6"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assets</w:t>
            </w:r>
          </w:p>
        </w:tc>
        <w:tc>
          <w:tcPr>
            <w:tcW w:w="1982" w:type="dxa"/>
            <w:shd w:val="clear" w:color="auto" w:fill="auto"/>
            <w:tcMar>
              <w:top w:w="0" w:type="dxa"/>
              <w:bottom w:w="0" w:type="dxa"/>
            </w:tcMar>
            <w:vAlign w:val="center"/>
          </w:tcPr>
          <w:p w14:paraId="135C54B7"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412,444,006,102</w:t>
            </w:r>
          </w:p>
        </w:tc>
        <w:tc>
          <w:tcPr>
            <w:tcW w:w="1803" w:type="dxa"/>
            <w:shd w:val="clear" w:color="auto" w:fill="auto"/>
            <w:tcMar>
              <w:top w:w="0" w:type="dxa"/>
              <w:bottom w:w="0" w:type="dxa"/>
            </w:tcMar>
            <w:vAlign w:val="center"/>
          </w:tcPr>
          <w:p w14:paraId="582AAA40"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380,618,387,036</w:t>
            </w:r>
          </w:p>
        </w:tc>
        <w:tc>
          <w:tcPr>
            <w:tcW w:w="1515" w:type="dxa"/>
            <w:shd w:val="clear" w:color="auto" w:fill="auto"/>
            <w:tcMar>
              <w:top w:w="0" w:type="dxa"/>
              <w:bottom w:w="0" w:type="dxa"/>
            </w:tcMar>
            <w:vAlign w:val="center"/>
          </w:tcPr>
          <w:p w14:paraId="77D234CF"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8.36</w:t>
            </w:r>
          </w:p>
        </w:tc>
      </w:tr>
      <w:tr w:rsidR="00994D15" w14:paraId="4D41436E" w14:textId="77777777">
        <w:tc>
          <w:tcPr>
            <w:tcW w:w="713" w:type="dxa"/>
            <w:shd w:val="clear" w:color="auto" w:fill="auto"/>
            <w:tcMar>
              <w:top w:w="0" w:type="dxa"/>
              <w:bottom w:w="0" w:type="dxa"/>
            </w:tcMar>
            <w:vAlign w:val="center"/>
          </w:tcPr>
          <w:p w14:paraId="1313287F"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04" w:type="dxa"/>
            <w:shd w:val="clear" w:color="auto" w:fill="auto"/>
            <w:tcMar>
              <w:top w:w="0" w:type="dxa"/>
              <w:bottom w:w="0" w:type="dxa"/>
            </w:tcMar>
            <w:vAlign w:val="center"/>
          </w:tcPr>
          <w:p w14:paraId="61054795" w14:textId="20CEB2D5" w:rsidR="00994D15" w:rsidRDefault="00B23D5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w:t>
            </w:r>
            <w:r w:rsidR="00D00D74">
              <w:rPr>
                <w:rFonts w:ascii="Arial" w:hAnsi="Arial"/>
                <w:color w:val="010000"/>
                <w:sz w:val="20"/>
              </w:rPr>
              <w:t>’</w:t>
            </w:r>
            <w:r>
              <w:rPr>
                <w:rFonts w:ascii="Arial" w:hAnsi="Arial"/>
                <w:color w:val="010000"/>
                <w:sz w:val="20"/>
              </w:rPr>
              <w:t>s</w:t>
            </w:r>
            <w:r w:rsidR="00D00D74">
              <w:rPr>
                <w:rFonts w:ascii="Arial" w:hAnsi="Arial"/>
                <w:color w:val="010000"/>
                <w:sz w:val="20"/>
              </w:rPr>
              <w:t xml:space="preserve"> equity</w:t>
            </w:r>
          </w:p>
        </w:tc>
        <w:tc>
          <w:tcPr>
            <w:tcW w:w="1982" w:type="dxa"/>
            <w:shd w:val="clear" w:color="auto" w:fill="auto"/>
            <w:tcMar>
              <w:top w:w="0" w:type="dxa"/>
              <w:bottom w:w="0" w:type="dxa"/>
            </w:tcMar>
            <w:vAlign w:val="center"/>
          </w:tcPr>
          <w:p w14:paraId="229808DB"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334,083,051,139</w:t>
            </w:r>
          </w:p>
        </w:tc>
        <w:tc>
          <w:tcPr>
            <w:tcW w:w="1803" w:type="dxa"/>
            <w:shd w:val="clear" w:color="auto" w:fill="auto"/>
            <w:tcMar>
              <w:top w:w="0" w:type="dxa"/>
              <w:bottom w:w="0" w:type="dxa"/>
            </w:tcMar>
            <w:vAlign w:val="center"/>
          </w:tcPr>
          <w:p w14:paraId="3D987859"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332,455,772,354</w:t>
            </w:r>
          </w:p>
        </w:tc>
        <w:tc>
          <w:tcPr>
            <w:tcW w:w="1515" w:type="dxa"/>
            <w:shd w:val="clear" w:color="auto" w:fill="auto"/>
            <w:tcMar>
              <w:top w:w="0" w:type="dxa"/>
              <w:bottom w:w="0" w:type="dxa"/>
            </w:tcMar>
            <w:vAlign w:val="center"/>
          </w:tcPr>
          <w:p w14:paraId="1D4DD06A"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0.49</w:t>
            </w:r>
          </w:p>
        </w:tc>
      </w:tr>
      <w:tr w:rsidR="00994D15" w14:paraId="24D37AA2" w14:textId="77777777">
        <w:tc>
          <w:tcPr>
            <w:tcW w:w="713" w:type="dxa"/>
            <w:shd w:val="clear" w:color="auto" w:fill="auto"/>
            <w:tcMar>
              <w:top w:w="0" w:type="dxa"/>
              <w:bottom w:w="0" w:type="dxa"/>
            </w:tcMar>
            <w:vAlign w:val="center"/>
          </w:tcPr>
          <w:p w14:paraId="5BC4B364"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3004" w:type="dxa"/>
            <w:shd w:val="clear" w:color="auto" w:fill="auto"/>
            <w:tcMar>
              <w:top w:w="0" w:type="dxa"/>
              <w:bottom w:w="0" w:type="dxa"/>
            </w:tcMar>
            <w:vAlign w:val="center"/>
          </w:tcPr>
          <w:p w14:paraId="2422FAC4"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1982" w:type="dxa"/>
            <w:shd w:val="clear" w:color="auto" w:fill="auto"/>
            <w:tcMar>
              <w:top w:w="0" w:type="dxa"/>
              <w:bottom w:w="0" w:type="dxa"/>
            </w:tcMar>
            <w:vAlign w:val="center"/>
          </w:tcPr>
          <w:p w14:paraId="6CFAF935"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314,415,407,093</w:t>
            </w:r>
          </w:p>
        </w:tc>
        <w:tc>
          <w:tcPr>
            <w:tcW w:w="1803" w:type="dxa"/>
            <w:shd w:val="clear" w:color="auto" w:fill="auto"/>
            <w:tcMar>
              <w:top w:w="0" w:type="dxa"/>
              <w:bottom w:w="0" w:type="dxa"/>
            </w:tcMar>
            <w:vAlign w:val="center"/>
          </w:tcPr>
          <w:p w14:paraId="73375572"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265,324,468,432</w:t>
            </w:r>
          </w:p>
        </w:tc>
        <w:tc>
          <w:tcPr>
            <w:tcW w:w="1515" w:type="dxa"/>
            <w:shd w:val="clear" w:color="auto" w:fill="auto"/>
            <w:tcMar>
              <w:top w:w="0" w:type="dxa"/>
              <w:bottom w:w="0" w:type="dxa"/>
            </w:tcMar>
            <w:vAlign w:val="center"/>
          </w:tcPr>
          <w:p w14:paraId="2CD5E589"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18.50</w:t>
            </w:r>
          </w:p>
        </w:tc>
      </w:tr>
      <w:tr w:rsidR="00994D15" w14:paraId="4CB6E80E" w14:textId="77777777">
        <w:tc>
          <w:tcPr>
            <w:tcW w:w="713" w:type="dxa"/>
            <w:shd w:val="clear" w:color="auto" w:fill="auto"/>
            <w:tcMar>
              <w:top w:w="0" w:type="dxa"/>
              <w:bottom w:w="0" w:type="dxa"/>
            </w:tcMar>
            <w:vAlign w:val="center"/>
          </w:tcPr>
          <w:p w14:paraId="601465BA"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3004" w:type="dxa"/>
            <w:shd w:val="clear" w:color="auto" w:fill="auto"/>
            <w:tcMar>
              <w:top w:w="0" w:type="dxa"/>
              <w:bottom w:w="0" w:type="dxa"/>
            </w:tcMar>
            <w:vAlign w:val="center"/>
          </w:tcPr>
          <w:p w14:paraId="098F785A"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profit from business activities</w:t>
            </w:r>
          </w:p>
        </w:tc>
        <w:tc>
          <w:tcPr>
            <w:tcW w:w="1982" w:type="dxa"/>
            <w:shd w:val="clear" w:color="auto" w:fill="auto"/>
            <w:tcMar>
              <w:top w:w="0" w:type="dxa"/>
              <w:bottom w:w="0" w:type="dxa"/>
            </w:tcMar>
            <w:vAlign w:val="center"/>
          </w:tcPr>
          <w:p w14:paraId="6008B7C3"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2,111,815,688</w:t>
            </w:r>
          </w:p>
        </w:tc>
        <w:tc>
          <w:tcPr>
            <w:tcW w:w="1803" w:type="dxa"/>
            <w:shd w:val="clear" w:color="auto" w:fill="auto"/>
            <w:tcMar>
              <w:top w:w="0" w:type="dxa"/>
              <w:bottom w:w="0" w:type="dxa"/>
            </w:tcMar>
            <w:vAlign w:val="center"/>
          </w:tcPr>
          <w:p w14:paraId="497E8DFA"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2,071,709,628</w:t>
            </w:r>
          </w:p>
        </w:tc>
        <w:tc>
          <w:tcPr>
            <w:tcW w:w="1515" w:type="dxa"/>
            <w:shd w:val="clear" w:color="auto" w:fill="auto"/>
            <w:tcMar>
              <w:top w:w="0" w:type="dxa"/>
              <w:bottom w:w="0" w:type="dxa"/>
            </w:tcMar>
            <w:vAlign w:val="center"/>
          </w:tcPr>
          <w:p w14:paraId="17199D5E"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1.94</w:t>
            </w:r>
          </w:p>
        </w:tc>
      </w:tr>
      <w:tr w:rsidR="00994D15" w14:paraId="2690BE58" w14:textId="77777777">
        <w:tc>
          <w:tcPr>
            <w:tcW w:w="713" w:type="dxa"/>
            <w:shd w:val="clear" w:color="auto" w:fill="auto"/>
            <w:tcMar>
              <w:top w:w="0" w:type="dxa"/>
              <w:bottom w:w="0" w:type="dxa"/>
            </w:tcMar>
            <w:vAlign w:val="center"/>
          </w:tcPr>
          <w:p w14:paraId="1FF130D0" w14:textId="787ADF4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3004" w:type="dxa"/>
            <w:shd w:val="clear" w:color="auto" w:fill="auto"/>
            <w:tcMar>
              <w:top w:w="0" w:type="dxa"/>
              <w:bottom w:w="0" w:type="dxa"/>
            </w:tcMar>
            <w:vAlign w:val="center"/>
          </w:tcPr>
          <w:p w14:paraId="02EA593C"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profits</w:t>
            </w:r>
          </w:p>
        </w:tc>
        <w:tc>
          <w:tcPr>
            <w:tcW w:w="1982" w:type="dxa"/>
            <w:shd w:val="clear" w:color="auto" w:fill="auto"/>
            <w:tcMar>
              <w:top w:w="0" w:type="dxa"/>
              <w:bottom w:w="0" w:type="dxa"/>
            </w:tcMar>
            <w:vAlign w:val="center"/>
          </w:tcPr>
          <w:p w14:paraId="736DF2B7"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-69,452,285</w:t>
            </w:r>
          </w:p>
        </w:tc>
        <w:tc>
          <w:tcPr>
            <w:tcW w:w="1803" w:type="dxa"/>
            <w:shd w:val="clear" w:color="auto" w:fill="auto"/>
            <w:tcMar>
              <w:top w:w="0" w:type="dxa"/>
              <w:bottom w:w="0" w:type="dxa"/>
            </w:tcMar>
            <w:vAlign w:val="center"/>
          </w:tcPr>
          <w:p w14:paraId="5C053EDB"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-214,650,426</w:t>
            </w:r>
          </w:p>
        </w:tc>
        <w:tc>
          <w:tcPr>
            <w:tcW w:w="1515" w:type="dxa"/>
            <w:shd w:val="clear" w:color="auto" w:fill="auto"/>
            <w:tcMar>
              <w:top w:w="0" w:type="dxa"/>
              <w:bottom w:w="0" w:type="dxa"/>
            </w:tcMar>
            <w:vAlign w:val="center"/>
          </w:tcPr>
          <w:p w14:paraId="50494960"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(67.64)</w:t>
            </w:r>
          </w:p>
        </w:tc>
      </w:tr>
      <w:tr w:rsidR="00994D15" w14:paraId="62C7DC2A" w14:textId="77777777">
        <w:tc>
          <w:tcPr>
            <w:tcW w:w="713" w:type="dxa"/>
            <w:shd w:val="clear" w:color="auto" w:fill="auto"/>
            <w:tcMar>
              <w:top w:w="0" w:type="dxa"/>
              <w:bottom w:w="0" w:type="dxa"/>
            </w:tcMar>
            <w:vAlign w:val="center"/>
          </w:tcPr>
          <w:p w14:paraId="19E300FA"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3004" w:type="dxa"/>
            <w:shd w:val="clear" w:color="auto" w:fill="auto"/>
            <w:tcMar>
              <w:top w:w="0" w:type="dxa"/>
              <w:bottom w:w="0" w:type="dxa"/>
            </w:tcMar>
            <w:vAlign w:val="center"/>
          </w:tcPr>
          <w:p w14:paraId="34A9237B"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982" w:type="dxa"/>
            <w:shd w:val="clear" w:color="auto" w:fill="auto"/>
            <w:tcMar>
              <w:top w:w="0" w:type="dxa"/>
              <w:bottom w:w="0" w:type="dxa"/>
            </w:tcMar>
            <w:vAlign w:val="center"/>
          </w:tcPr>
          <w:p w14:paraId="57C2E30C"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2,042,363,403</w:t>
            </w:r>
          </w:p>
        </w:tc>
        <w:tc>
          <w:tcPr>
            <w:tcW w:w="1803" w:type="dxa"/>
            <w:shd w:val="clear" w:color="auto" w:fill="auto"/>
            <w:tcMar>
              <w:top w:w="0" w:type="dxa"/>
              <w:bottom w:w="0" w:type="dxa"/>
            </w:tcMar>
            <w:vAlign w:val="center"/>
          </w:tcPr>
          <w:p w14:paraId="6A8D3A7E"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1,857,059,202</w:t>
            </w:r>
          </w:p>
        </w:tc>
        <w:tc>
          <w:tcPr>
            <w:tcW w:w="1515" w:type="dxa"/>
            <w:shd w:val="clear" w:color="auto" w:fill="auto"/>
            <w:tcMar>
              <w:top w:w="0" w:type="dxa"/>
              <w:bottom w:w="0" w:type="dxa"/>
            </w:tcMar>
            <w:vAlign w:val="center"/>
          </w:tcPr>
          <w:p w14:paraId="4709ECA2"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9.98</w:t>
            </w:r>
          </w:p>
        </w:tc>
      </w:tr>
      <w:tr w:rsidR="00994D15" w14:paraId="0B0B3B72" w14:textId="77777777">
        <w:tc>
          <w:tcPr>
            <w:tcW w:w="713" w:type="dxa"/>
            <w:shd w:val="clear" w:color="auto" w:fill="auto"/>
            <w:tcMar>
              <w:top w:w="0" w:type="dxa"/>
              <w:bottom w:w="0" w:type="dxa"/>
            </w:tcMar>
            <w:vAlign w:val="center"/>
          </w:tcPr>
          <w:p w14:paraId="285624E1"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r>
              <w:rPr>
                <w:rFonts w:ascii="Arial" w:hAnsi="Arial"/>
                <w:b/>
                <w:bCs/>
                <w:color w:val="010000"/>
                <w:sz w:val="20"/>
              </w:rPr>
              <w:t xml:space="preserve"> </w:t>
            </w:r>
          </w:p>
        </w:tc>
        <w:tc>
          <w:tcPr>
            <w:tcW w:w="3004" w:type="dxa"/>
            <w:shd w:val="clear" w:color="auto" w:fill="auto"/>
            <w:tcMar>
              <w:top w:w="0" w:type="dxa"/>
              <w:bottom w:w="0" w:type="dxa"/>
            </w:tcMar>
            <w:vAlign w:val="center"/>
          </w:tcPr>
          <w:p w14:paraId="0BD19B9E"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982" w:type="dxa"/>
            <w:shd w:val="clear" w:color="auto" w:fill="auto"/>
            <w:tcMar>
              <w:top w:w="0" w:type="dxa"/>
              <w:bottom w:w="0" w:type="dxa"/>
            </w:tcMar>
            <w:vAlign w:val="center"/>
          </w:tcPr>
          <w:p w14:paraId="034BA1A4"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1,627,278,785</w:t>
            </w:r>
          </w:p>
        </w:tc>
        <w:tc>
          <w:tcPr>
            <w:tcW w:w="1803" w:type="dxa"/>
            <w:shd w:val="clear" w:color="auto" w:fill="auto"/>
            <w:tcMar>
              <w:top w:w="0" w:type="dxa"/>
              <w:bottom w:w="0" w:type="dxa"/>
            </w:tcMar>
            <w:vAlign w:val="center"/>
          </w:tcPr>
          <w:p w14:paraId="0784CE9F"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1,431,249,563</w:t>
            </w:r>
          </w:p>
        </w:tc>
        <w:tc>
          <w:tcPr>
            <w:tcW w:w="1515" w:type="dxa"/>
            <w:shd w:val="clear" w:color="auto" w:fill="auto"/>
            <w:tcMar>
              <w:top w:w="0" w:type="dxa"/>
              <w:bottom w:w="0" w:type="dxa"/>
            </w:tcMar>
            <w:vAlign w:val="center"/>
          </w:tcPr>
          <w:p w14:paraId="0CF76C87"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13.70</w:t>
            </w:r>
          </w:p>
        </w:tc>
      </w:tr>
    </w:tbl>
    <w:p w14:paraId="48F448C7" w14:textId="77777777" w:rsidR="00994D15" w:rsidRDefault="00D00D74" w:rsidP="00B23D5E">
      <w:pPr>
        <w:numPr>
          <w:ilvl w:val="0"/>
          <w:numId w:val="2"/>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t>The business plan 2024;</w:t>
      </w:r>
    </w:p>
    <w:p w14:paraId="5E98CE5A" w14:textId="77777777" w:rsidR="00994D15" w:rsidRDefault="00D00D74" w:rsidP="00B23D5E">
      <w:pPr>
        <w:numPr>
          <w:ilvl w:val="0"/>
          <w:numId w:val="8"/>
        </w:numPr>
        <w:pBdr>
          <w:top w:val="nil"/>
          <w:left w:val="nil"/>
          <w:bottom w:val="nil"/>
          <w:right w:val="nil"/>
          <w:between w:val="nil"/>
        </w:pBdr>
        <w:tabs>
          <w:tab w:val="left" w:pos="1052"/>
        </w:tabs>
        <w:spacing w:after="120" w:line="360" w:lineRule="auto"/>
        <w:jc w:val="both"/>
        <w:rPr>
          <w:rFonts w:ascii="Arial" w:eastAsia="Arial" w:hAnsi="Arial" w:cs="Arial"/>
          <w:color w:val="010000"/>
          <w:sz w:val="20"/>
          <w:szCs w:val="20"/>
        </w:rPr>
      </w:pPr>
      <w:r>
        <w:rPr>
          <w:rFonts w:ascii="Arial" w:hAnsi="Arial"/>
          <w:color w:val="010000"/>
          <w:sz w:val="20"/>
        </w:rPr>
        <w:t>Revenue from production and business activities is about VND380 billion;</w:t>
      </w:r>
    </w:p>
    <w:p w14:paraId="27313BF9" w14:textId="77777777" w:rsidR="00994D15" w:rsidRDefault="00D00D74" w:rsidP="00B23D5E">
      <w:pPr>
        <w:numPr>
          <w:ilvl w:val="0"/>
          <w:numId w:val="8"/>
        </w:numPr>
        <w:pBdr>
          <w:top w:val="nil"/>
          <w:left w:val="nil"/>
          <w:bottom w:val="nil"/>
          <w:right w:val="nil"/>
          <w:between w:val="nil"/>
        </w:pBdr>
        <w:tabs>
          <w:tab w:val="left" w:pos="1052"/>
        </w:tabs>
        <w:spacing w:after="120" w:line="360" w:lineRule="auto"/>
        <w:jc w:val="both"/>
        <w:rPr>
          <w:rFonts w:ascii="Arial" w:eastAsia="Arial" w:hAnsi="Arial" w:cs="Arial"/>
          <w:color w:val="010000"/>
          <w:sz w:val="20"/>
          <w:szCs w:val="20"/>
        </w:rPr>
      </w:pPr>
      <w:r>
        <w:rPr>
          <w:rFonts w:ascii="Arial" w:hAnsi="Arial"/>
          <w:color w:val="010000"/>
          <w:sz w:val="20"/>
        </w:rPr>
        <w:t>Profit after tax is about VND2.5 billion;</w:t>
      </w:r>
    </w:p>
    <w:p w14:paraId="240C196A" w14:textId="77777777" w:rsidR="003462BB" w:rsidRDefault="00D00D74" w:rsidP="00B23D5E">
      <w:pPr>
        <w:pBdr>
          <w:top w:val="nil"/>
          <w:left w:val="nil"/>
          <w:bottom w:val="nil"/>
          <w:right w:val="nil"/>
          <w:between w:val="nil"/>
        </w:pBdr>
        <w:spacing w:after="120" w:line="360" w:lineRule="auto"/>
        <w:jc w:val="both"/>
        <w:rPr>
          <w:rFonts w:ascii="Arial" w:hAnsi="Arial"/>
          <w:color w:val="010000"/>
          <w:sz w:val="20"/>
        </w:rPr>
      </w:pPr>
      <w:r>
        <w:rPr>
          <w:rFonts w:ascii="Arial" w:hAnsi="Arial"/>
          <w:color w:val="010000"/>
          <w:sz w:val="20"/>
        </w:rPr>
        <w:t xml:space="preserve">‎‎Article 3. Approve the Audited Financial Statements 2023 </w:t>
      </w:r>
    </w:p>
    <w:p w14:paraId="26D67ACD" w14:textId="1CD4A008"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profit distribution for the fiscal year 2023 and the profit distribution plan for 2024 </w:t>
      </w:r>
    </w:p>
    <w:p w14:paraId="0D31DEEC"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distribution plan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3614"/>
      </w:tblGrid>
      <w:tr w:rsidR="00994D15" w14:paraId="12FEA291" w14:textId="77777777">
        <w:tc>
          <w:tcPr>
            <w:tcW w:w="5403" w:type="dxa"/>
            <w:shd w:val="clear" w:color="auto" w:fill="auto"/>
            <w:tcMar>
              <w:top w:w="0" w:type="dxa"/>
              <w:bottom w:w="0" w:type="dxa"/>
            </w:tcMar>
            <w:vAlign w:val="center"/>
          </w:tcPr>
          <w:p w14:paraId="4D41AC0C"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3614" w:type="dxa"/>
            <w:shd w:val="clear" w:color="auto" w:fill="auto"/>
            <w:tcMar>
              <w:top w:w="0" w:type="dxa"/>
              <w:bottom w:w="0" w:type="dxa"/>
            </w:tcMar>
            <w:vAlign w:val="center"/>
          </w:tcPr>
          <w:p w14:paraId="6B72178E"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 (Unit: VND)</w:t>
            </w:r>
          </w:p>
        </w:tc>
      </w:tr>
      <w:tr w:rsidR="00994D15" w14:paraId="3EED48F0" w14:textId="77777777">
        <w:tc>
          <w:tcPr>
            <w:tcW w:w="5403" w:type="dxa"/>
            <w:shd w:val="clear" w:color="auto" w:fill="auto"/>
            <w:tcMar>
              <w:top w:w="0" w:type="dxa"/>
              <w:bottom w:w="0" w:type="dxa"/>
            </w:tcMar>
            <w:vAlign w:val="center"/>
          </w:tcPr>
          <w:p w14:paraId="4DAF5171"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Profit before tax</w:t>
            </w:r>
          </w:p>
        </w:tc>
        <w:tc>
          <w:tcPr>
            <w:tcW w:w="3614" w:type="dxa"/>
            <w:shd w:val="clear" w:color="auto" w:fill="auto"/>
            <w:tcMar>
              <w:top w:w="0" w:type="dxa"/>
              <w:bottom w:w="0" w:type="dxa"/>
            </w:tcMar>
            <w:vAlign w:val="center"/>
          </w:tcPr>
          <w:p w14:paraId="59D441CD"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2,042,363,403</w:t>
            </w:r>
          </w:p>
        </w:tc>
      </w:tr>
      <w:tr w:rsidR="00994D15" w14:paraId="04A8CD83" w14:textId="77777777">
        <w:tc>
          <w:tcPr>
            <w:tcW w:w="5403" w:type="dxa"/>
            <w:shd w:val="clear" w:color="auto" w:fill="auto"/>
            <w:tcMar>
              <w:top w:w="0" w:type="dxa"/>
              <w:bottom w:w="0" w:type="dxa"/>
            </w:tcMar>
            <w:vAlign w:val="center"/>
          </w:tcPr>
          <w:p w14:paraId="3013F582"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 Payable Corporate income tax</w:t>
            </w:r>
          </w:p>
        </w:tc>
        <w:tc>
          <w:tcPr>
            <w:tcW w:w="3614" w:type="dxa"/>
            <w:shd w:val="clear" w:color="auto" w:fill="auto"/>
            <w:tcMar>
              <w:top w:w="0" w:type="dxa"/>
              <w:bottom w:w="0" w:type="dxa"/>
            </w:tcMar>
            <w:vAlign w:val="center"/>
          </w:tcPr>
          <w:p w14:paraId="08BE394C"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415,084,618</w:t>
            </w:r>
          </w:p>
        </w:tc>
      </w:tr>
      <w:tr w:rsidR="00994D15" w14:paraId="49B65BE2" w14:textId="77777777">
        <w:tc>
          <w:tcPr>
            <w:tcW w:w="5403" w:type="dxa"/>
            <w:shd w:val="clear" w:color="auto" w:fill="auto"/>
            <w:tcMar>
              <w:top w:w="0" w:type="dxa"/>
              <w:bottom w:w="0" w:type="dxa"/>
            </w:tcMar>
            <w:vAlign w:val="center"/>
          </w:tcPr>
          <w:p w14:paraId="5AE0D735"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Profit after tax</w:t>
            </w:r>
          </w:p>
        </w:tc>
        <w:tc>
          <w:tcPr>
            <w:tcW w:w="3614" w:type="dxa"/>
            <w:shd w:val="clear" w:color="auto" w:fill="auto"/>
            <w:tcMar>
              <w:top w:w="0" w:type="dxa"/>
              <w:bottom w:w="0" w:type="dxa"/>
            </w:tcMar>
            <w:vAlign w:val="center"/>
          </w:tcPr>
          <w:p w14:paraId="7EACE411"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1,627,278,785</w:t>
            </w:r>
          </w:p>
        </w:tc>
      </w:tr>
      <w:tr w:rsidR="00994D15" w14:paraId="665F835E" w14:textId="77777777">
        <w:tc>
          <w:tcPr>
            <w:tcW w:w="5403" w:type="dxa"/>
            <w:shd w:val="clear" w:color="auto" w:fill="auto"/>
            <w:tcMar>
              <w:top w:w="0" w:type="dxa"/>
              <w:bottom w:w="0" w:type="dxa"/>
            </w:tcMar>
            <w:vAlign w:val="center"/>
          </w:tcPr>
          <w:p w14:paraId="73EFC2BE" w14:textId="0FE37F18"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4 Retained </w:t>
            </w:r>
            <w:r w:rsidR="003462BB">
              <w:rPr>
                <w:rFonts w:ascii="Arial" w:hAnsi="Arial"/>
                <w:color w:val="010000"/>
                <w:sz w:val="20"/>
              </w:rPr>
              <w:t>profits</w:t>
            </w:r>
            <w:r>
              <w:rPr>
                <w:rFonts w:ascii="Arial" w:hAnsi="Arial"/>
                <w:color w:val="010000"/>
                <w:sz w:val="20"/>
              </w:rPr>
              <w:t xml:space="preserve"> of previous years</w:t>
            </w:r>
          </w:p>
        </w:tc>
        <w:tc>
          <w:tcPr>
            <w:tcW w:w="3614" w:type="dxa"/>
            <w:shd w:val="clear" w:color="auto" w:fill="auto"/>
            <w:tcMar>
              <w:top w:w="0" w:type="dxa"/>
              <w:bottom w:w="0" w:type="dxa"/>
            </w:tcMar>
            <w:vAlign w:val="center"/>
          </w:tcPr>
          <w:p w14:paraId="500EE477"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1,473,812,354</w:t>
            </w:r>
          </w:p>
        </w:tc>
      </w:tr>
      <w:tr w:rsidR="00994D15" w14:paraId="61781BD6" w14:textId="77777777">
        <w:tc>
          <w:tcPr>
            <w:tcW w:w="5403" w:type="dxa"/>
            <w:shd w:val="clear" w:color="auto" w:fill="auto"/>
            <w:tcMar>
              <w:top w:w="0" w:type="dxa"/>
              <w:bottom w:w="0" w:type="dxa"/>
            </w:tcMar>
            <w:vAlign w:val="center"/>
          </w:tcPr>
          <w:p w14:paraId="793F9AB1"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 Total profits until the end of 2023</w:t>
            </w:r>
          </w:p>
        </w:tc>
        <w:tc>
          <w:tcPr>
            <w:tcW w:w="3614" w:type="dxa"/>
            <w:shd w:val="clear" w:color="auto" w:fill="auto"/>
            <w:tcMar>
              <w:top w:w="0" w:type="dxa"/>
              <w:bottom w:w="0" w:type="dxa"/>
            </w:tcMar>
            <w:vAlign w:val="center"/>
          </w:tcPr>
          <w:p w14:paraId="181E6792"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3,101,091,139</w:t>
            </w:r>
          </w:p>
        </w:tc>
      </w:tr>
      <w:tr w:rsidR="00994D15" w14:paraId="259EC5D3" w14:textId="77777777">
        <w:tc>
          <w:tcPr>
            <w:tcW w:w="5403" w:type="dxa"/>
            <w:shd w:val="clear" w:color="auto" w:fill="auto"/>
            <w:tcMar>
              <w:top w:w="0" w:type="dxa"/>
              <w:bottom w:w="0" w:type="dxa"/>
            </w:tcMar>
            <w:vAlign w:val="center"/>
          </w:tcPr>
          <w:p w14:paraId="57D0CBBD"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 Profit transferred to the next year</w:t>
            </w:r>
          </w:p>
        </w:tc>
        <w:tc>
          <w:tcPr>
            <w:tcW w:w="3614" w:type="dxa"/>
            <w:shd w:val="clear" w:color="auto" w:fill="auto"/>
            <w:tcMar>
              <w:top w:w="0" w:type="dxa"/>
              <w:bottom w:w="0" w:type="dxa"/>
            </w:tcMar>
            <w:vAlign w:val="center"/>
          </w:tcPr>
          <w:p w14:paraId="0024FA30" w14:textId="77777777" w:rsidR="00994D15" w:rsidRDefault="00D00D7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3,101,091,139</w:t>
            </w:r>
          </w:p>
        </w:tc>
      </w:tr>
    </w:tbl>
    <w:p w14:paraId="571806F2" w14:textId="77777777" w:rsidR="00994D15" w:rsidRDefault="00D00D74" w:rsidP="00B23D5E">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Pr>
          <w:rFonts w:ascii="Arial" w:hAnsi="Arial"/>
          <w:color w:val="010000"/>
          <w:sz w:val="20"/>
        </w:rPr>
        <w:lastRenderedPageBreak/>
        <w:t>Profit distribution plan in 2024</w:t>
      </w:r>
    </w:p>
    <w:p w14:paraId="4FCF4B3A" w14:textId="77777777" w:rsidR="00994D15" w:rsidRDefault="00D00D74" w:rsidP="00B23D5E">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Pr>
          <w:rFonts w:ascii="Arial" w:hAnsi="Arial"/>
          <w:color w:val="010000"/>
          <w:sz w:val="20"/>
        </w:rPr>
        <w:t>According to the business plan 2024, the Board of Directors plans to use profit after tax in 2024 to reinvest for using in the following year.</w:t>
      </w:r>
    </w:p>
    <w:p w14:paraId="5E85DDB0" w14:textId="6CEDE388"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remunerat</w:t>
      </w:r>
      <w:r w:rsidR="00B23D5E">
        <w:rPr>
          <w:rFonts w:ascii="Arial" w:hAnsi="Arial"/>
          <w:color w:val="010000"/>
          <w:sz w:val="20"/>
        </w:rPr>
        <w:t>ion for the Board of Directors and Executive Board in 2023 and</w:t>
      </w:r>
      <w:r>
        <w:rPr>
          <w:rFonts w:ascii="Arial" w:hAnsi="Arial"/>
          <w:color w:val="010000"/>
          <w:sz w:val="20"/>
        </w:rPr>
        <w:t xml:space="preserve"> plan for 2024</w:t>
      </w:r>
    </w:p>
    <w:p w14:paraId="50969F2C"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selection of an independent audit company for the Financial Statements 2024</w:t>
      </w:r>
    </w:p>
    <w:p w14:paraId="3D654CF3"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on authorizing the Board of Directors to approve/decide the mobilization of loan capital with a maximum total limit of VND400 billion. </w:t>
      </w:r>
    </w:p>
    <w:p w14:paraId="7245EAAE"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the investment transactions in raw material areas and agricultural and forestry product processing companies with a value of less than VND200 billion</w:t>
      </w:r>
    </w:p>
    <w:p w14:paraId="7F48FE55"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Approve the private placement plan to increase charter capital 2024</w:t>
      </w:r>
    </w:p>
    <w:p w14:paraId="2E51FD17"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 Private placement plan to increase charter capital 2024</w:t>
      </w:r>
    </w:p>
    <w:p w14:paraId="1A6718B9" w14:textId="77777777" w:rsidR="00994D15" w:rsidRDefault="00D00D74" w:rsidP="00B23D5E">
      <w:pPr>
        <w:numPr>
          <w:ilvl w:val="0"/>
          <w:numId w:val="6"/>
        </w:numPr>
        <w:pBdr>
          <w:top w:val="nil"/>
          <w:left w:val="nil"/>
          <w:bottom w:val="nil"/>
          <w:right w:val="nil"/>
          <w:between w:val="nil"/>
        </w:pBdr>
        <w:spacing w:after="120" w:line="360" w:lineRule="auto"/>
        <w:ind w:left="284"/>
        <w:jc w:val="both"/>
        <w:rPr>
          <w:rFonts w:ascii="Arial" w:eastAsia="Arial" w:hAnsi="Arial" w:cs="Arial"/>
          <w:color w:val="010000"/>
          <w:sz w:val="20"/>
          <w:szCs w:val="20"/>
        </w:rPr>
      </w:pPr>
      <w:r>
        <w:rPr>
          <w:rFonts w:ascii="Arial" w:hAnsi="Arial"/>
          <w:color w:val="010000"/>
          <w:sz w:val="20"/>
        </w:rPr>
        <w:t xml:space="preserve">Information about offered shares </w:t>
      </w:r>
    </w:p>
    <w:tbl>
      <w:tblPr>
        <w:tblStyle w:val="a1"/>
        <w:tblW w:w="9017" w:type="dxa"/>
        <w:tblLayout w:type="fixed"/>
        <w:tblLook w:val="0400" w:firstRow="0" w:lastRow="0" w:firstColumn="0" w:lastColumn="0" w:noHBand="0" w:noVBand="1"/>
      </w:tblPr>
      <w:tblGrid>
        <w:gridCol w:w="3397"/>
        <w:gridCol w:w="5620"/>
      </w:tblGrid>
      <w:tr w:rsidR="00994D15" w14:paraId="46AF4887" w14:textId="77777777" w:rsidTr="00FC6812">
        <w:tc>
          <w:tcPr>
            <w:tcW w:w="3397" w:type="dxa"/>
          </w:tcPr>
          <w:p w14:paraId="002C41FC"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Shares name:</w:t>
            </w:r>
          </w:p>
        </w:tc>
        <w:tc>
          <w:tcPr>
            <w:tcW w:w="5620" w:type="dxa"/>
            <w:vAlign w:val="center"/>
          </w:tcPr>
          <w:p w14:paraId="3CEC0CAE"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Shares of </w:t>
            </w:r>
            <w:proofErr w:type="spellStart"/>
            <w:r>
              <w:rPr>
                <w:rFonts w:ascii="Arial" w:hAnsi="Arial"/>
                <w:color w:val="010000"/>
                <w:sz w:val="20"/>
              </w:rPr>
              <w:t>Vinaherbfoods</w:t>
            </w:r>
            <w:proofErr w:type="spellEnd"/>
            <w:r>
              <w:rPr>
                <w:rFonts w:ascii="Arial" w:hAnsi="Arial"/>
                <w:color w:val="010000"/>
                <w:sz w:val="20"/>
              </w:rPr>
              <w:t xml:space="preserve"> Joint Stock Company</w:t>
            </w:r>
          </w:p>
        </w:tc>
      </w:tr>
      <w:tr w:rsidR="00994D15" w14:paraId="181C0A72" w14:textId="77777777" w:rsidTr="00FC6812">
        <w:tc>
          <w:tcPr>
            <w:tcW w:w="3397" w:type="dxa"/>
          </w:tcPr>
          <w:p w14:paraId="4D7E38AF"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Security code:</w:t>
            </w:r>
          </w:p>
        </w:tc>
        <w:tc>
          <w:tcPr>
            <w:tcW w:w="5620" w:type="dxa"/>
          </w:tcPr>
          <w:p w14:paraId="7E518303"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VHE</w:t>
            </w:r>
          </w:p>
        </w:tc>
      </w:tr>
      <w:tr w:rsidR="00994D15" w14:paraId="2B74115D" w14:textId="77777777" w:rsidTr="00FC6812">
        <w:tc>
          <w:tcPr>
            <w:tcW w:w="3397" w:type="dxa"/>
          </w:tcPr>
          <w:p w14:paraId="06C970BD"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Shares type:</w:t>
            </w:r>
          </w:p>
        </w:tc>
        <w:tc>
          <w:tcPr>
            <w:tcW w:w="5620" w:type="dxa"/>
          </w:tcPr>
          <w:p w14:paraId="78F6B469"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Common shares</w:t>
            </w:r>
          </w:p>
        </w:tc>
      </w:tr>
      <w:tr w:rsidR="00994D15" w14:paraId="18BA26AE" w14:textId="77777777" w:rsidTr="00FC6812">
        <w:tc>
          <w:tcPr>
            <w:tcW w:w="3397" w:type="dxa"/>
          </w:tcPr>
          <w:p w14:paraId="1ECAE1F2"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Par value</w:t>
            </w:r>
          </w:p>
        </w:tc>
        <w:tc>
          <w:tcPr>
            <w:tcW w:w="5620" w:type="dxa"/>
          </w:tcPr>
          <w:p w14:paraId="684ACD7D"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VND10,000/share</w:t>
            </w:r>
          </w:p>
        </w:tc>
      </w:tr>
      <w:tr w:rsidR="00994D15" w14:paraId="1EDFA4F4" w14:textId="77777777" w:rsidTr="00FC6812">
        <w:tc>
          <w:tcPr>
            <w:tcW w:w="3397" w:type="dxa"/>
          </w:tcPr>
          <w:p w14:paraId="386A94C3"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number of issued shares:</w:t>
            </w:r>
          </w:p>
        </w:tc>
        <w:tc>
          <w:tcPr>
            <w:tcW w:w="5620" w:type="dxa"/>
          </w:tcPr>
          <w:p w14:paraId="6BD9D57A"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33,140,000 shares</w:t>
            </w:r>
          </w:p>
        </w:tc>
      </w:tr>
      <w:tr w:rsidR="00994D15" w14:paraId="41CBF2A1" w14:textId="77777777" w:rsidTr="00FC6812">
        <w:tc>
          <w:tcPr>
            <w:tcW w:w="3397" w:type="dxa"/>
          </w:tcPr>
          <w:p w14:paraId="04C7F365"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number of outstanding shares:</w:t>
            </w:r>
          </w:p>
        </w:tc>
        <w:tc>
          <w:tcPr>
            <w:tcW w:w="5620" w:type="dxa"/>
          </w:tcPr>
          <w:p w14:paraId="05D11980"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33,139,996 shares</w:t>
            </w:r>
          </w:p>
        </w:tc>
      </w:tr>
      <w:tr w:rsidR="00994D15" w14:paraId="00E032BA" w14:textId="77777777" w:rsidTr="00FC6812">
        <w:tc>
          <w:tcPr>
            <w:tcW w:w="3397" w:type="dxa"/>
          </w:tcPr>
          <w:p w14:paraId="4827EDFE"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number of treasury shares:</w:t>
            </w:r>
          </w:p>
        </w:tc>
        <w:tc>
          <w:tcPr>
            <w:tcW w:w="5620" w:type="dxa"/>
          </w:tcPr>
          <w:p w14:paraId="3EE20B81"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 shares</w:t>
            </w:r>
          </w:p>
        </w:tc>
      </w:tr>
    </w:tbl>
    <w:p w14:paraId="3406BB66" w14:textId="77777777" w:rsidR="00994D15" w:rsidRDefault="00D00D74" w:rsidP="00B23D5E">
      <w:pPr>
        <w:numPr>
          <w:ilvl w:val="0"/>
          <w:numId w:val="6"/>
        </w:numPr>
        <w:pBdr>
          <w:top w:val="nil"/>
          <w:left w:val="nil"/>
          <w:bottom w:val="nil"/>
          <w:right w:val="nil"/>
          <w:between w:val="nil"/>
        </w:pBdr>
        <w:spacing w:after="120" w:line="360" w:lineRule="auto"/>
        <w:ind w:left="284"/>
        <w:jc w:val="both"/>
        <w:rPr>
          <w:rFonts w:ascii="Arial" w:eastAsia="Arial" w:hAnsi="Arial" w:cs="Arial"/>
          <w:color w:val="010000"/>
          <w:sz w:val="20"/>
          <w:szCs w:val="20"/>
        </w:rPr>
      </w:pPr>
      <w:r>
        <w:rPr>
          <w:rFonts w:ascii="Arial" w:hAnsi="Arial"/>
          <w:color w:val="010000"/>
          <w:sz w:val="20"/>
        </w:rPr>
        <w:t>Offering plan:</w:t>
      </w:r>
    </w:p>
    <w:p w14:paraId="015009E2"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Offering method: Private placement</w:t>
      </w:r>
    </w:p>
    <w:p w14:paraId="7697C933"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Offering purposes: Mobilize capital to repay loans from credit institutions to improve capital autonomy, reduce financial pressure for the Company and supplement working capital to serve the Company's production and business activities.</w:t>
      </w:r>
    </w:p>
    <w:p w14:paraId="380EA486"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Maximum number of shares expected to be offered: 16,360,000 shares.</w:t>
      </w:r>
    </w:p>
    <w:p w14:paraId="24CA812C"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 xml:space="preserve">Total value of shares expected to be offered at par value: VND163,600,000,000 </w:t>
      </w:r>
    </w:p>
    <w:p w14:paraId="07CA3C52"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Offering price: VND10,000/share</w:t>
      </w:r>
    </w:p>
    <w:p w14:paraId="7478C644"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Eligible buyers: Professional securities investor</w:t>
      </w:r>
    </w:p>
    <w:p w14:paraId="585B0C8C"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Investor selection criteria:</w:t>
      </w:r>
    </w:p>
    <w:p w14:paraId="37FD3BCA" w14:textId="77777777" w:rsidR="00994D15" w:rsidRDefault="00D00D74" w:rsidP="00B23D5E">
      <w:pPr>
        <w:numPr>
          <w:ilvl w:val="0"/>
          <w:numId w:val="3"/>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t>Domestic organizations and individuals who are professional securities investors according to current laws and belong to one of the following subjects:</w:t>
      </w:r>
    </w:p>
    <w:p w14:paraId="08EB8190" w14:textId="5D8BC8D9" w:rsidR="00994D15" w:rsidRDefault="00D00D74" w:rsidP="00B23D5E">
      <w:pPr>
        <w:numPr>
          <w:ilvl w:val="0"/>
          <w:numId w:val="4"/>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lastRenderedPageBreak/>
        <w:t xml:space="preserve">Commercial banks, foreign bank branches, financial companies, insurance business organizations, securities companies, securities investment fund management companies, securities investment companies, securities investment funds securities, international financial institutions, off-budget state financial funds, and state financial institutions may purchase securities </w:t>
      </w:r>
      <w:r w:rsidR="00B23D5E">
        <w:rPr>
          <w:rFonts w:ascii="Arial" w:hAnsi="Arial"/>
          <w:color w:val="010000"/>
          <w:sz w:val="20"/>
        </w:rPr>
        <w:t>under applicable laws</w:t>
      </w:r>
      <w:r>
        <w:rPr>
          <w:rFonts w:ascii="Arial" w:hAnsi="Arial"/>
          <w:color w:val="010000"/>
          <w:sz w:val="20"/>
        </w:rPr>
        <w:t>;</w:t>
      </w:r>
    </w:p>
    <w:p w14:paraId="4DD6283C" w14:textId="77777777" w:rsidR="00994D15" w:rsidRDefault="00D00D74" w:rsidP="00B23D5E">
      <w:pPr>
        <w:numPr>
          <w:ilvl w:val="0"/>
          <w:numId w:val="4"/>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t>Companies with contributed charter capital of over VND100 billion or listed organizations or organizations registered for trading;</w:t>
      </w:r>
    </w:p>
    <w:p w14:paraId="2BD2651B" w14:textId="77777777" w:rsidR="00994D15" w:rsidRDefault="00D00D74" w:rsidP="00B23D5E">
      <w:pPr>
        <w:numPr>
          <w:ilvl w:val="0"/>
          <w:numId w:val="4"/>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t>Individuals with securities practice certificate;</w:t>
      </w:r>
    </w:p>
    <w:p w14:paraId="417D9872" w14:textId="77777777" w:rsidR="00994D15" w:rsidRDefault="00D00D74" w:rsidP="00B23D5E">
      <w:pPr>
        <w:numPr>
          <w:ilvl w:val="0"/>
          <w:numId w:val="4"/>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t>Individuals holding a list of listed securities or registered for transaction with a value of at least VND2 billion as certified by a securities company at the time they are identified as professional securities investors;</w:t>
      </w:r>
    </w:p>
    <w:p w14:paraId="0A4E2CE0" w14:textId="77777777" w:rsidR="00994D15" w:rsidRDefault="00D00D74" w:rsidP="00B23D5E">
      <w:pPr>
        <w:numPr>
          <w:ilvl w:val="0"/>
          <w:numId w:val="4"/>
        </w:numPr>
        <w:pBdr>
          <w:top w:val="nil"/>
          <w:left w:val="nil"/>
          <w:bottom w:val="nil"/>
          <w:right w:val="nil"/>
          <w:between w:val="nil"/>
        </w:pBdr>
        <w:spacing w:after="120" w:line="360" w:lineRule="auto"/>
        <w:ind w:left="426" w:hanging="426"/>
        <w:jc w:val="both"/>
        <w:rPr>
          <w:rFonts w:ascii="Arial" w:eastAsia="Arial" w:hAnsi="Arial" w:cs="Arial"/>
          <w:color w:val="010000"/>
          <w:sz w:val="20"/>
          <w:szCs w:val="20"/>
        </w:rPr>
      </w:pPr>
      <w:r>
        <w:rPr>
          <w:rFonts w:ascii="Arial" w:hAnsi="Arial"/>
          <w:color w:val="010000"/>
          <w:sz w:val="20"/>
        </w:rPr>
        <w:t>Individual with a taxable income of at least VND1 billion in the latest year by the time that individual is determined to be a professional securities investor, according to the tax deceleration submitted to the tax authority or the tax deduction vouchers of the paying organization or individual.</w:t>
      </w:r>
    </w:p>
    <w:p w14:paraId="741C5095" w14:textId="77777777" w:rsidR="00994D15" w:rsidRDefault="00D00D74" w:rsidP="00B23D5E">
      <w:pPr>
        <w:numPr>
          <w:ilvl w:val="0"/>
          <w:numId w:val="5"/>
        </w:numPr>
        <w:pBdr>
          <w:top w:val="nil"/>
          <w:left w:val="nil"/>
          <w:bottom w:val="nil"/>
          <w:right w:val="nil"/>
          <w:between w:val="nil"/>
        </w:pBdr>
        <w:spacing w:after="120" w:line="360" w:lineRule="auto"/>
        <w:ind w:left="567" w:hanging="567"/>
        <w:jc w:val="both"/>
        <w:rPr>
          <w:rFonts w:ascii="Arial" w:eastAsia="Arial" w:hAnsi="Arial" w:cs="Arial"/>
          <w:color w:val="010000"/>
          <w:sz w:val="20"/>
          <w:szCs w:val="20"/>
        </w:rPr>
      </w:pPr>
      <w:r>
        <w:rPr>
          <w:rFonts w:ascii="Arial" w:hAnsi="Arial"/>
          <w:color w:val="010000"/>
          <w:sz w:val="20"/>
        </w:rPr>
        <w:t>Prioritize traditional and potential partners of the Company;</w:t>
      </w:r>
    </w:p>
    <w:p w14:paraId="7D4C61B5" w14:textId="77777777" w:rsidR="00994D15" w:rsidRDefault="00D00D74" w:rsidP="00B23D5E">
      <w:pPr>
        <w:numPr>
          <w:ilvl w:val="0"/>
          <w:numId w:val="5"/>
        </w:numPr>
        <w:pBdr>
          <w:top w:val="nil"/>
          <w:left w:val="nil"/>
          <w:bottom w:val="nil"/>
          <w:right w:val="nil"/>
          <w:between w:val="nil"/>
        </w:pBdr>
        <w:spacing w:after="120" w:line="360" w:lineRule="auto"/>
        <w:ind w:left="567" w:hanging="567"/>
        <w:jc w:val="both"/>
        <w:rPr>
          <w:rFonts w:ascii="Arial" w:eastAsia="Arial" w:hAnsi="Arial" w:cs="Arial"/>
          <w:color w:val="010000"/>
          <w:sz w:val="20"/>
          <w:szCs w:val="20"/>
        </w:rPr>
      </w:pPr>
      <w:r>
        <w:rPr>
          <w:rFonts w:ascii="Arial" w:hAnsi="Arial"/>
          <w:color w:val="010000"/>
          <w:sz w:val="20"/>
        </w:rPr>
        <w:t>Have financial potential and ability to quickly contribute capital right after registering to buy shares;</w:t>
      </w:r>
    </w:p>
    <w:p w14:paraId="764D4713" w14:textId="77777777" w:rsidR="00994D15" w:rsidRDefault="00D00D74" w:rsidP="00B23D5E">
      <w:pPr>
        <w:numPr>
          <w:ilvl w:val="0"/>
          <w:numId w:val="5"/>
        </w:numPr>
        <w:pBdr>
          <w:top w:val="nil"/>
          <w:left w:val="nil"/>
          <w:bottom w:val="nil"/>
          <w:right w:val="nil"/>
          <w:between w:val="nil"/>
        </w:pBdr>
        <w:spacing w:after="120" w:line="360" w:lineRule="auto"/>
        <w:ind w:left="567" w:hanging="567"/>
        <w:jc w:val="both"/>
        <w:rPr>
          <w:rFonts w:ascii="Arial" w:eastAsia="Arial" w:hAnsi="Arial" w:cs="Arial"/>
          <w:color w:val="010000"/>
          <w:sz w:val="20"/>
          <w:szCs w:val="20"/>
        </w:rPr>
      </w:pPr>
      <w:r>
        <w:rPr>
          <w:rFonts w:ascii="Arial" w:hAnsi="Arial"/>
          <w:color w:val="010000"/>
          <w:sz w:val="20"/>
        </w:rPr>
        <w:t>Other criteria that the Board of Directors considers as necessary.</w:t>
      </w:r>
    </w:p>
    <w:p w14:paraId="0DAC9A84" w14:textId="77777777"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Number of investors participating in the offering: Under 100 investors, excluding professional securities investors.</w:t>
      </w:r>
    </w:p>
    <w:p w14:paraId="31B0821C" w14:textId="223BBB0F"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 xml:space="preserve">Transfer restriction: The transfer of privately offered shares is restricted for 01 </w:t>
      </w:r>
      <w:proofErr w:type="gramStart"/>
      <w:r>
        <w:rPr>
          <w:rFonts w:ascii="Arial" w:hAnsi="Arial"/>
          <w:color w:val="010000"/>
          <w:sz w:val="20"/>
        </w:rPr>
        <w:t>year</w:t>
      </w:r>
      <w:proofErr w:type="gramEnd"/>
      <w:r>
        <w:rPr>
          <w:rFonts w:ascii="Arial" w:hAnsi="Arial"/>
          <w:color w:val="010000"/>
          <w:sz w:val="20"/>
        </w:rPr>
        <w:t xml:space="preserve"> for professional securities investors from the date of completion of the offering, except in the case of transfer between professional securities investors or implementation under a legally effective court judgment or decision, arbitration decision or inheritance </w:t>
      </w:r>
      <w:r w:rsidR="00B23D5E">
        <w:rPr>
          <w:rFonts w:ascii="Arial" w:hAnsi="Arial"/>
          <w:color w:val="010000"/>
          <w:sz w:val="20"/>
        </w:rPr>
        <w:t>under applicable laws</w:t>
      </w:r>
      <w:r>
        <w:rPr>
          <w:rFonts w:ascii="Arial" w:hAnsi="Arial"/>
          <w:color w:val="010000"/>
          <w:sz w:val="20"/>
        </w:rPr>
        <w:t>.</w:t>
      </w:r>
    </w:p>
    <w:p w14:paraId="5B7C42F0" w14:textId="5581C604" w:rsidR="00994D15" w:rsidRDefault="00D00D74" w:rsidP="00B23D5E">
      <w:pPr>
        <w:numPr>
          <w:ilvl w:val="0"/>
          <w:numId w:val="1"/>
        </w:numPr>
        <w:pBdr>
          <w:top w:val="nil"/>
          <w:left w:val="nil"/>
          <w:bottom w:val="nil"/>
          <w:right w:val="nil"/>
          <w:between w:val="nil"/>
        </w:pBdr>
        <w:tabs>
          <w:tab w:val="left" w:pos="1046"/>
        </w:tabs>
        <w:spacing w:after="120" w:line="360" w:lineRule="auto"/>
        <w:jc w:val="both"/>
        <w:rPr>
          <w:rFonts w:ascii="Arial" w:eastAsia="Arial" w:hAnsi="Arial" w:cs="Arial"/>
          <w:color w:val="010000"/>
          <w:sz w:val="20"/>
          <w:szCs w:val="20"/>
        </w:rPr>
      </w:pPr>
      <w:r>
        <w:rPr>
          <w:rFonts w:ascii="Arial" w:hAnsi="Arial"/>
          <w:color w:val="010000"/>
          <w:sz w:val="20"/>
        </w:rPr>
        <w:t xml:space="preserve">Method of handling unissued shares: The number of shares purchased by unregistered investors will be authorized by the Board of Directors to distribute to other subjects selected by the Board of Directors according to the investor selection criteria approved by the </w:t>
      </w:r>
      <w:r w:rsidR="00B23D5E">
        <w:rPr>
          <w:rFonts w:ascii="Arial" w:hAnsi="Arial"/>
          <w:color w:val="010000"/>
          <w:sz w:val="20"/>
        </w:rPr>
        <w:t>General Meeting</w:t>
      </w:r>
      <w:r>
        <w:rPr>
          <w:rFonts w:ascii="Arial" w:hAnsi="Arial"/>
          <w:color w:val="010000"/>
          <w:sz w:val="20"/>
        </w:rPr>
        <w:t xml:space="preserve"> at a price not lower than the price announced to investo</w:t>
      </w:r>
      <w:r w:rsidR="00B23D5E">
        <w:rPr>
          <w:rFonts w:ascii="Arial" w:hAnsi="Arial"/>
          <w:color w:val="010000"/>
          <w:sz w:val="20"/>
        </w:rPr>
        <w:t>rs or cancel and end the issu</w:t>
      </w:r>
      <w:r>
        <w:rPr>
          <w:rFonts w:ascii="Arial" w:hAnsi="Arial"/>
          <w:color w:val="010000"/>
          <w:sz w:val="20"/>
        </w:rPr>
        <w:t>e.</w:t>
      </w:r>
    </w:p>
    <w:p w14:paraId="4920D810" w14:textId="77777777" w:rsidR="00994D15" w:rsidRDefault="00D00D74" w:rsidP="00B23D5E">
      <w:pPr>
        <w:numPr>
          <w:ilvl w:val="0"/>
          <w:numId w:val="8"/>
        </w:numPr>
        <w:pBdr>
          <w:top w:val="nil"/>
          <w:left w:val="nil"/>
          <w:bottom w:val="nil"/>
          <w:right w:val="nil"/>
          <w:between w:val="nil"/>
        </w:pBdr>
        <w:tabs>
          <w:tab w:val="left" w:pos="1108"/>
        </w:tabs>
        <w:spacing w:after="120" w:line="360" w:lineRule="auto"/>
        <w:jc w:val="both"/>
        <w:rPr>
          <w:rFonts w:ascii="Arial" w:eastAsia="Arial" w:hAnsi="Arial" w:cs="Arial"/>
          <w:color w:val="010000"/>
          <w:sz w:val="20"/>
          <w:szCs w:val="20"/>
        </w:rPr>
      </w:pPr>
      <w:r>
        <w:rPr>
          <w:rFonts w:ascii="Arial" w:hAnsi="Arial"/>
          <w:color w:val="010000"/>
          <w:sz w:val="20"/>
        </w:rPr>
        <w:t>Implementation time: Expected in 2024, after being approved by the General Meeting and the State Securities Commission.</w:t>
      </w:r>
    </w:p>
    <w:p w14:paraId="0C0DC6B7" w14:textId="731F55A8" w:rsidR="00994D15" w:rsidRDefault="00D00D74" w:rsidP="00B23D5E">
      <w:pPr>
        <w:numPr>
          <w:ilvl w:val="0"/>
          <w:numId w:val="8"/>
        </w:numPr>
        <w:pBdr>
          <w:top w:val="nil"/>
          <w:left w:val="nil"/>
          <w:bottom w:val="nil"/>
          <w:right w:val="nil"/>
          <w:between w:val="nil"/>
        </w:pBdr>
        <w:tabs>
          <w:tab w:val="left" w:pos="1108"/>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Plan on ensuring the share issuance to meet the foreign ownership rate: The criteria for selecting investors for the offering are domestic organizations and individuals, so the offering is guaranteed to meet the maximum foreign ownership rate at the Company </w:t>
      </w:r>
      <w:r w:rsidR="00B23D5E">
        <w:rPr>
          <w:rFonts w:ascii="Arial" w:hAnsi="Arial"/>
          <w:color w:val="010000"/>
          <w:sz w:val="20"/>
        </w:rPr>
        <w:t>under applicable laws</w:t>
      </w:r>
      <w:r>
        <w:rPr>
          <w:rFonts w:ascii="Arial" w:hAnsi="Arial"/>
          <w:color w:val="010000"/>
          <w:sz w:val="20"/>
        </w:rPr>
        <w:t>.</w:t>
      </w:r>
    </w:p>
    <w:p w14:paraId="078D1959" w14:textId="77777777" w:rsidR="00994D15" w:rsidRDefault="00D00D74" w:rsidP="00B23D5E">
      <w:pPr>
        <w:numPr>
          <w:ilvl w:val="0"/>
          <w:numId w:val="6"/>
        </w:numPr>
        <w:pBdr>
          <w:top w:val="nil"/>
          <w:left w:val="nil"/>
          <w:bottom w:val="nil"/>
          <w:right w:val="nil"/>
          <w:between w:val="nil"/>
        </w:pBdr>
        <w:spacing w:after="120" w:line="360" w:lineRule="auto"/>
        <w:ind w:left="284"/>
        <w:jc w:val="both"/>
        <w:rPr>
          <w:rFonts w:ascii="Arial" w:eastAsia="Arial" w:hAnsi="Arial" w:cs="Arial"/>
          <w:color w:val="010000"/>
          <w:sz w:val="20"/>
          <w:szCs w:val="20"/>
        </w:rPr>
      </w:pPr>
      <w:r>
        <w:rPr>
          <w:rFonts w:ascii="Arial" w:hAnsi="Arial"/>
          <w:color w:val="010000"/>
          <w:sz w:val="20"/>
        </w:rPr>
        <w:t>The plan on using the proceeds from the offering</w:t>
      </w:r>
    </w:p>
    <w:p w14:paraId="4B122E05" w14:textId="0BFAAF9D"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amount of proceeds from the offering is expected to be VND163,600,000,000 from the above </w:t>
      </w:r>
      <w:r>
        <w:rPr>
          <w:rFonts w:ascii="Arial" w:hAnsi="Arial"/>
          <w:color w:val="010000"/>
          <w:sz w:val="20"/>
        </w:rPr>
        <w:lastRenderedPageBreak/>
        <w:t>offering, which is expected to be used to repay loans from credit institutions to improve capital autonomy, reduce financial pressure on the Company and supplement working capital to serve the Company's produ</w:t>
      </w:r>
      <w:r w:rsidR="00B23D5E">
        <w:rPr>
          <w:rFonts w:ascii="Arial" w:hAnsi="Arial"/>
          <w:color w:val="010000"/>
          <w:sz w:val="20"/>
        </w:rPr>
        <w:t>ction and business activities, s</w:t>
      </w:r>
      <w:r>
        <w:rPr>
          <w:rFonts w:ascii="Arial" w:hAnsi="Arial"/>
          <w:color w:val="010000"/>
          <w:sz w:val="20"/>
        </w:rPr>
        <w:t>pecifically:</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3603"/>
        <w:gridCol w:w="2200"/>
        <w:gridCol w:w="2472"/>
      </w:tblGrid>
      <w:tr w:rsidR="00994D15" w14:paraId="148B8CA7" w14:textId="77777777">
        <w:tc>
          <w:tcPr>
            <w:tcW w:w="742" w:type="dxa"/>
            <w:shd w:val="clear" w:color="auto" w:fill="auto"/>
            <w:tcMar>
              <w:top w:w="0" w:type="dxa"/>
              <w:bottom w:w="0" w:type="dxa"/>
            </w:tcMar>
            <w:vAlign w:val="center"/>
          </w:tcPr>
          <w:p w14:paraId="137C429F"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603" w:type="dxa"/>
            <w:shd w:val="clear" w:color="auto" w:fill="auto"/>
            <w:tcMar>
              <w:top w:w="0" w:type="dxa"/>
              <w:bottom w:w="0" w:type="dxa"/>
            </w:tcMar>
            <w:vAlign w:val="center"/>
          </w:tcPr>
          <w:p w14:paraId="21148835"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Subjects</w:t>
            </w:r>
          </w:p>
        </w:tc>
        <w:tc>
          <w:tcPr>
            <w:tcW w:w="2200" w:type="dxa"/>
            <w:shd w:val="clear" w:color="auto" w:fill="auto"/>
            <w:tcMar>
              <w:top w:w="0" w:type="dxa"/>
              <w:bottom w:w="0" w:type="dxa"/>
            </w:tcMar>
            <w:vAlign w:val="center"/>
          </w:tcPr>
          <w:p w14:paraId="2BBA26CE"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Expected use of capital from the offering</w:t>
            </w:r>
          </w:p>
        </w:tc>
        <w:tc>
          <w:tcPr>
            <w:tcW w:w="2472" w:type="dxa"/>
            <w:shd w:val="clear" w:color="auto" w:fill="auto"/>
            <w:tcMar>
              <w:top w:w="0" w:type="dxa"/>
              <w:bottom w:w="0" w:type="dxa"/>
            </w:tcMar>
            <w:vAlign w:val="center"/>
          </w:tcPr>
          <w:p w14:paraId="1F6F869A"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Implementation time</w:t>
            </w:r>
          </w:p>
        </w:tc>
      </w:tr>
      <w:tr w:rsidR="00994D15" w14:paraId="33EFFEFD" w14:textId="77777777">
        <w:tc>
          <w:tcPr>
            <w:tcW w:w="742" w:type="dxa"/>
            <w:shd w:val="clear" w:color="auto" w:fill="auto"/>
            <w:tcMar>
              <w:top w:w="0" w:type="dxa"/>
              <w:bottom w:w="0" w:type="dxa"/>
            </w:tcMar>
            <w:vAlign w:val="center"/>
          </w:tcPr>
          <w:p w14:paraId="489F99D1"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603" w:type="dxa"/>
            <w:shd w:val="clear" w:color="auto" w:fill="auto"/>
            <w:tcMar>
              <w:top w:w="0" w:type="dxa"/>
              <w:bottom w:w="0" w:type="dxa"/>
            </w:tcMar>
            <w:vAlign w:val="center"/>
          </w:tcPr>
          <w:p w14:paraId="2DDCB4C7"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Repay loan from credit institutions</w:t>
            </w:r>
          </w:p>
        </w:tc>
        <w:tc>
          <w:tcPr>
            <w:tcW w:w="2200" w:type="dxa"/>
            <w:shd w:val="clear" w:color="auto" w:fill="auto"/>
            <w:tcMar>
              <w:top w:w="0" w:type="dxa"/>
              <w:bottom w:w="0" w:type="dxa"/>
            </w:tcMar>
            <w:vAlign w:val="center"/>
          </w:tcPr>
          <w:p w14:paraId="07100592"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71,890,000,000</w:t>
            </w:r>
          </w:p>
        </w:tc>
        <w:tc>
          <w:tcPr>
            <w:tcW w:w="2472" w:type="dxa"/>
            <w:vMerge w:val="restart"/>
            <w:shd w:val="clear" w:color="auto" w:fill="auto"/>
            <w:tcMar>
              <w:top w:w="0" w:type="dxa"/>
              <w:bottom w:w="0" w:type="dxa"/>
            </w:tcMar>
            <w:vAlign w:val="center"/>
          </w:tcPr>
          <w:p w14:paraId="0CB26C43"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2024-2025</w:t>
            </w:r>
          </w:p>
        </w:tc>
      </w:tr>
      <w:tr w:rsidR="00994D15" w14:paraId="0E9C9FFC" w14:textId="77777777">
        <w:tc>
          <w:tcPr>
            <w:tcW w:w="742" w:type="dxa"/>
            <w:shd w:val="clear" w:color="auto" w:fill="auto"/>
            <w:tcMar>
              <w:top w:w="0" w:type="dxa"/>
              <w:bottom w:w="0" w:type="dxa"/>
            </w:tcMar>
            <w:vAlign w:val="center"/>
          </w:tcPr>
          <w:p w14:paraId="1915EFAD"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3603" w:type="dxa"/>
            <w:shd w:val="clear" w:color="auto" w:fill="auto"/>
            <w:tcMar>
              <w:top w:w="0" w:type="dxa"/>
              <w:bottom w:w="0" w:type="dxa"/>
            </w:tcMar>
            <w:vAlign w:val="center"/>
          </w:tcPr>
          <w:p w14:paraId="7998896D"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Vietnam Prosperity Joint Stock Commercial Bank- Thang Long Branch</w:t>
            </w:r>
          </w:p>
        </w:tc>
        <w:tc>
          <w:tcPr>
            <w:tcW w:w="2200" w:type="dxa"/>
            <w:shd w:val="clear" w:color="auto" w:fill="auto"/>
            <w:tcMar>
              <w:top w:w="0" w:type="dxa"/>
              <w:bottom w:w="0" w:type="dxa"/>
            </w:tcMar>
            <w:vAlign w:val="center"/>
          </w:tcPr>
          <w:p w14:paraId="6BDD02AC"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25,000,000,000</w:t>
            </w:r>
          </w:p>
        </w:tc>
        <w:tc>
          <w:tcPr>
            <w:tcW w:w="2472" w:type="dxa"/>
            <w:vMerge/>
            <w:shd w:val="clear" w:color="auto" w:fill="auto"/>
            <w:tcMar>
              <w:top w:w="0" w:type="dxa"/>
              <w:bottom w:w="0" w:type="dxa"/>
            </w:tcMar>
            <w:vAlign w:val="center"/>
          </w:tcPr>
          <w:p w14:paraId="18BC65DD" w14:textId="77777777" w:rsidR="00994D15" w:rsidRDefault="00994D15">
            <w:pPr>
              <w:pBdr>
                <w:top w:val="nil"/>
                <w:left w:val="nil"/>
                <w:bottom w:val="nil"/>
                <w:right w:val="nil"/>
                <w:between w:val="nil"/>
              </w:pBdr>
              <w:spacing w:line="276" w:lineRule="auto"/>
              <w:rPr>
                <w:rFonts w:ascii="Arial" w:eastAsia="Arial" w:hAnsi="Arial" w:cs="Arial"/>
                <w:color w:val="010000"/>
                <w:sz w:val="20"/>
                <w:szCs w:val="20"/>
              </w:rPr>
            </w:pPr>
          </w:p>
        </w:tc>
      </w:tr>
      <w:tr w:rsidR="00994D15" w14:paraId="039C250C" w14:textId="77777777">
        <w:tc>
          <w:tcPr>
            <w:tcW w:w="742" w:type="dxa"/>
            <w:shd w:val="clear" w:color="auto" w:fill="auto"/>
            <w:tcMar>
              <w:top w:w="0" w:type="dxa"/>
              <w:bottom w:w="0" w:type="dxa"/>
            </w:tcMar>
            <w:vAlign w:val="center"/>
          </w:tcPr>
          <w:p w14:paraId="29B25214"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3603" w:type="dxa"/>
            <w:shd w:val="clear" w:color="auto" w:fill="auto"/>
            <w:tcMar>
              <w:top w:w="0" w:type="dxa"/>
              <w:bottom w:w="0" w:type="dxa"/>
            </w:tcMar>
            <w:vAlign w:val="center"/>
          </w:tcPr>
          <w:p w14:paraId="39038057"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Vietnam Commercial Joint Stock Export Import Bank- Hanoi Branch</w:t>
            </w:r>
          </w:p>
        </w:tc>
        <w:tc>
          <w:tcPr>
            <w:tcW w:w="2200" w:type="dxa"/>
            <w:shd w:val="clear" w:color="auto" w:fill="auto"/>
            <w:tcMar>
              <w:top w:w="0" w:type="dxa"/>
              <w:bottom w:w="0" w:type="dxa"/>
            </w:tcMar>
            <w:vAlign w:val="center"/>
          </w:tcPr>
          <w:p w14:paraId="565F507D"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4,290,000,000</w:t>
            </w:r>
          </w:p>
        </w:tc>
        <w:tc>
          <w:tcPr>
            <w:tcW w:w="2472" w:type="dxa"/>
            <w:vMerge/>
            <w:shd w:val="clear" w:color="auto" w:fill="auto"/>
            <w:tcMar>
              <w:top w:w="0" w:type="dxa"/>
              <w:bottom w:w="0" w:type="dxa"/>
            </w:tcMar>
            <w:vAlign w:val="center"/>
          </w:tcPr>
          <w:p w14:paraId="219F9ECF" w14:textId="77777777" w:rsidR="00994D15" w:rsidRDefault="00994D15">
            <w:pPr>
              <w:pBdr>
                <w:top w:val="nil"/>
                <w:left w:val="nil"/>
                <w:bottom w:val="nil"/>
                <w:right w:val="nil"/>
                <w:between w:val="nil"/>
              </w:pBdr>
              <w:spacing w:line="276" w:lineRule="auto"/>
              <w:rPr>
                <w:rFonts w:ascii="Arial" w:eastAsia="Arial" w:hAnsi="Arial" w:cs="Arial"/>
                <w:color w:val="010000"/>
                <w:sz w:val="20"/>
                <w:szCs w:val="20"/>
              </w:rPr>
            </w:pPr>
          </w:p>
        </w:tc>
      </w:tr>
      <w:tr w:rsidR="00994D15" w14:paraId="2BF59E37" w14:textId="77777777">
        <w:tc>
          <w:tcPr>
            <w:tcW w:w="742" w:type="dxa"/>
            <w:shd w:val="clear" w:color="auto" w:fill="auto"/>
            <w:tcMar>
              <w:top w:w="0" w:type="dxa"/>
              <w:bottom w:w="0" w:type="dxa"/>
            </w:tcMar>
            <w:vAlign w:val="center"/>
          </w:tcPr>
          <w:p w14:paraId="1845F988"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3603" w:type="dxa"/>
            <w:shd w:val="clear" w:color="auto" w:fill="auto"/>
            <w:tcMar>
              <w:top w:w="0" w:type="dxa"/>
              <w:bottom w:w="0" w:type="dxa"/>
            </w:tcMar>
            <w:vAlign w:val="center"/>
          </w:tcPr>
          <w:p w14:paraId="4F828469"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Military Commercial Joint Stock Bank- My Dinh Branch</w:t>
            </w:r>
          </w:p>
        </w:tc>
        <w:tc>
          <w:tcPr>
            <w:tcW w:w="2200" w:type="dxa"/>
            <w:shd w:val="clear" w:color="auto" w:fill="auto"/>
            <w:tcMar>
              <w:top w:w="0" w:type="dxa"/>
              <w:bottom w:w="0" w:type="dxa"/>
            </w:tcMar>
            <w:vAlign w:val="center"/>
          </w:tcPr>
          <w:p w14:paraId="5D1E9E36"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42,600,000,000</w:t>
            </w:r>
          </w:p>
        </w:tc>
        <w:tc>
          <w:tcPr>
            <w:tcW w:w="2472" w:type="dxa"/>
            <w:vMerge/>
            <w:shd w:val="clear" w:color="auto" w:fill="auto"/>
            <w:tcMar>
              <w:top w:w="0" w:type="dxa"/>
              <w:bottom w:w="0" w:type="dxa"/>
            </w:tcMar>
            <w:vAlign w:val="center"/>
          </w:tcPr>
          <w:p w14:paraId="7AA8774C" w14:textId="77777777" w:rsidR="00994D15" w:rsidRDefault="00994D15">
            <w:pPr>
              <w:pBdr>
                <w:top w:val="nil"/>
                <w:left w:val="nil"/>
                <w:bottom w:val="nil"/>
                <w:right w:val="nil"/>
                <w:between w:val="nil"/>
              </w:pBdr>
              <w:spacing w:line="276" w:lineRule="auto"/>
              <w:rPr>
                <w:rFonts w:ascii="Arial" w:eastAsia="Arial" w:hAnsi="Arial" w:cs="Arial"/>
                <w:color w:val="010000"/>
                <w:sz w:val="20"/>
                <w:szCs w:val="20"/>
              </w:rPr>
            </w:pPr>
          </w:p>
        </w:tc>
      </w:tr>
      <w:tr w:rsidR="00994D15" w14:paraId="752F7BAF" w14:textId="77777777">
        <w:tc>
          <w:tcPr>
            <w:tcW w:w="742" w:type="dxa"/>
            <w:shd w:val="clear" w:color="auto" w:fill="auto"/>
            <w:tcMar>
              <w:top w:w="0" w:type="dxa"/>
              <w:bottom w:w="0" w:type="dxa"/>
            </w:tcMar>
            <w:vAlign w:val="center"/>
          </w:tcPr>
          <w:p w14:paraId="08C36459"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603" w:type="dxa"/>
            <w:shd w:val="clear" w:color="auto" w:fill="auto"/>
            <w:tcMar>
              <w:top w:w="0" w:type="dxa"/>
              <w:bottom w:w="0" w:type="dxa"/>
            </w:tcMar>
            <w:vAlign w:val="center"/>
          </w:tcPr>
          <w:p w14:paraId="4AED5EEE"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Supplement working capital (Payment to suppliers, Paying salaries to employees, etc.)</w:t>
            </w:r>
          </w:p>
        </w:tc>
        <w:tc>
          <w:tcPr>
            <w:tcW w:w="2200" w:type="dxa"/>
            <w:shd w:val="clear" w:color="auto" w:fill="auto"/>
            <w:tcMar>
              <w:top w:w="0" w:type="dxa"/>
              <w:bottom w:w="0" w:type="dxa"/>
            </w:tcMar>
            <w:vAlign w:val="center"/>
          </w:tcPr>
          <w:p w14:paraId="0F5FBDEF"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91,710,000,000</w:t>
            </w:r>
          </w:p>
        </w:tc>
        <w:tc>
          <w:tcPr>
            <w:tcW w:w="2472" w:type="dxa"/>
            <w:shd w:val="clear" w:color="auto" w:fill="auto"/>
            <w:tcMar>
              <w:top w:w="0" w:type="dxa"/>
              <w:bottom w:w="0" w:type="dxa"/>
            </w:tcMar>
            <w:vAlign w:val="center"/>
          </w:tcPr>
          <w:p w14:paraId="67063BC2"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2024-2025</w:t>
            </w:r>
          </w:p>
        </w:tc>
      </w:tr>
      <w:tr w:rsidR="00994D15" w14:paraId="1053B604" w14:textId="77777777">
        <w:tc>
          <w:tcPr>
            <w:tcW w:w="4345" w:type="dxa"/>
            <w:gridSpan w:val="2"/>
            <w:shd w:val="clear" w:color="auto" w:fill="auto"/>
            <w:tcMar>
              <w:top w:w="0" w:type="dxa"/>
              <w:bottom w:w="0" w:type="dxa"/>
            </w:tcMar>
            <w:vAlign w:val="center"/>
          </w:tcPr>
          <w:p w14:paraId="39A8CC3B"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w:t>
            </w:r>
          </w:p>
        </w:tc>
        <w:tc>
          <w:tcPr>
            <w:tcW w:w="2200" w:type="dxa"/>
            <w:shd w:val="clear" w:color="auto" w:fill="auto"/>
            <w:tcMar>
              <w:top w:w="0" w:type="dxa"/>
              <w:bottom w:w="0" w:type="dxa"/>
            </w:tcMar>
            <w:vAlign w:val="center"/>
          </w:tcPr>
          <w:p w14:paraId="1BAFBD64" w14:textId="77777777" w:rsidR="00994D15" w:rsidRDefault="00D00D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163,600,000,000</w:t>
            </w:r>
          </w:p>
        </w:tc>
        <w:tc>
          <w:tcPr>
            <w:tcW w:w="2472" w:type="dxa"/>
            <w:shd w:val="clear" w:color="auto" w:fill="auto"/>
            <w:tcMar>
              <w:top w:w="0" w:type="dxa"/>
              <w:bottom w:w="0" w:type="dxa"/>
            </w:tcMar>
            <w:vAlign w:val="center"/>
          </w:tcPr>
          <w:p w14:paraId="40016385" w14:textId="77777777" w:rsidR="00994D15" w:rsidRDefault="00994D15">
            <w:pPr>
              <w:spacing w:after="120" w:line="360" w:lineRule="auto"/>
              <w:rPr>
                <w:rFonts w:ascii="Arial" w:eastAsia="Arial" w:hAnsi="Arial" w:cs="Arial"/>
                <w:color w:val="010000"/>
                <w:sz w:val="20"/>
                <w:szCs w:val="20"/>
              </w:rPr>
            </w:pPr>
          </w:p>
        </w:tc>
      </w:tr>
    </w:tbl>
    <w:p w14:paraId="767A82FA" w14:textId="35DFB41A"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B23D5E">
        <w:rPr>
          <w:rFonts w:ascii="Arial" w:hAnsi="Arial"/>
          <w:color w:val="010000"/>
          <w:sz w:val="20"/>
        </w:rPr>
        <w:t>General Meeting</w:t>
      </w:r>
      <w:r>
        <w:rPr>
          <w:rFonts w:ascii="Arial" w:hAnsi="Arial"/>
          <w:color w:val="010000"/>
          <w:sz w:val="20"/>
        </w:rPr>
        <w:t xml:space="preserve"> authorized the Board of Directors to develop a detailed plan on using capital, adjust the plan on using capital obtained from the offering to negotiate </w:t>
      </w:r>
      <w:r w:rsidR="00B23D5E">
        <w:rPr>
          <w:rFonts w:ascii="Arial" w:hAnsi="Arial"/>
          <w:color w:val="010000"/>
          <w:sz w:val="20"/>
        </w:rPr>
        <w:t>under applicable laws</w:t>
      </w:r>
      <w:r>
        <w:rPr>
          <w:rFonts w:ascii="Arial" w:hAnsi="Arial"/>
          <w:color w:val="010000"/>
          <w:sz w:val="20"/>
        </w:rPr>
        <w:t xml:space="preserve">, market situation and specific situation of production and business activities of the Company at the time of the offering. The Board of Directors is responsible for reporting the change in the purpose of using capital (if any) at the nearest </w:t>
      </w:r>
      <w:r w:rsidR="00B23D5E">
        <w:rPr>
          <w:rFonts w:ascii="Arial" w:hAnsi="Arial"/>
          <w:color w:val="010000"/>
          <w:sz w:val="20"/>
        </w:rPr>
        <w:t>General Meeting</w:t>
      </w:r>
      <w:r>
        <w:rPr>
          <w:rFonts w:ascii="Arial" w:hAnsi="Arial"/>
          <w:color w:val="010000"/>
          <w:sz w:val="20"/>
        </w:rPr>
        <w:t>.</w:t>
      </w:r>
    </w:p>
    <w:p w14:paraId="54FFB49E" w14:textId="77777777" w:rsidR="00994D15" w:rsidRDefault="00D00D74" w:rsidP="00B23D5E">
      <w:pPr>
        <w:numPr>
          <w:ilvl w:val="0"/>
          <w:numId w:val="6"/>
        </w:numPr>
        <w:pBdr>
          <w:top w:val="nil"/>
          <w:left w:val="nil"/>
          <w:bottom w:val="nil"/>
          <w:right w:val="nil"/>
          <w:between w:val="nil"/>
        </w:pBdr>
        <w:spacing w:after="120" w:line="360" w:lineRule="auto"/>
        <w:ind w:left="284"/>
        <w:jc w:val="both"/>
        <w:rPr>
          <w:rFonts w:ascii="Arial" w:eastAsia="Arial" w:hAnsi="Arial" w:cs="Arial"/>
          <w:color w:val="010000"/>
          <w:sz w:val="20"/>
          <w:szCs w:val="20"/>
        </w:rPr>
      </w:pPr>
      <w:r>
        <w:rPr>
          <w:rFonts w:ascii="Arial" w:hAnsi="Arial"/>
          <w:color w:val="010000"/>
          <w:sz w:val="20"/>
        </w:rPr>
        <w:t>Amend the terms and content related to charter capital, shares in Article 7 of the Company's Charter updated according to the charter capital after completing the offering.</w:t>
      </w:r>
    </w:p>
    <w:p w14:paraId="70C0FEB7" w14:textId="77777777" w:rsidR="00994D15" w:rsidRDefault="00D00D74" w:rsidP="00B23D5E">
      <w:pPr>
        <w:numPr>
          <w:ilvl w:val="0"/>
          <w:numId w:val="6"/>
        </w:numPr>
        <w:pBdr>
          <w:top w:val="nil"/>
          <w:left w:val="nil"/>
          <w:bottom w:val="nil"/>
          <w:right w:val="nil"/>
          <w:between w:val="nil"/>
        </w:pBdr>
        <w:spacing w:after="120" w:line="360" w:lineRule="auto"/>
        <w:ind w:left="284"/>
        <w:jc w:val="both"/>
        <w:rPr>
          <w:rFonts w:ascii="Arial" w:eastAsia="Arial" w:hAnsi="Arial" w:cs="Arial"/>
          <w:color w:val="010000"/>
          <w:sz w:val="20"/>
          <w:szCs w:val="20"/>
        </w:rPr>
      </w:pPr>
      <w:r>
        <w:rPr>
          <w:rFonts w:ascii="Arial" w:hAnsi="Arial"/>
          <w:color w:val="010000"/>
          <w:sz w:val="20"/>
        </w:rPr>
        <w:t>Additional securities and trading registration:</w:t>
      </w:r>
    </w:p>
    <w:p w14:paraId="36F8B335" w14:textId="1D2A6D9C" w:rsidR="00994D15" w:rsidRDefault="00D00D74" w:rsidP="00B23D5E">
      <w:pPr>
        <w:numPr>
          <w:ilvl w:val="0"/>
          <w:numId w:val="7"/>
        </w:numPr>
        <w:pBdr>
          <w:top w:val="nil"/>
          <w:left w:val="nil"/>
          <w:bottom w:val="nil"/>
          <w:right w:val="nil"/>
          <w:between w:val="nil"/>
        </w:pBdr>
        <w:spacing w:after="120" w:line="360" w:lineRule="auto"/>
        <w:ind w:left="0" w:hanging="15"/>
        <w:jc w:val="both"/>
        <w:rPr>
          <w:rFonts w:ascii="Arial" w:eastAsia="Arial" w:hAnsi="Arial" w:cs="Arial"/>
          <w:color w:val="010000"/>
          <w:sz w:val="20"/>
          <w:szCs w:val="20"/>
        </w:rPr>
      </w:pPr>
      <w:r>
        <w:rPr>
          <w:rFonts w:ascii="Arial" w:hAnsi="Arial"/>
          <w:color w:val="010000"/>
          <w:sz w:val="20"/>
        </w:rPr>
        <w:t xml:space="preserve"> All additional offered shares will be registered as additional securities at the Vietnam Securities Depository and Clearing Corporation and registered for additional listing at the Hanoi Stock Exchange after completing the offering </w:t>
      </w:r>
      <w:r w:rsidR="00B23D5E">
        <w:rPr>
          <w:rFonts w:ascii="Arial" w:hAnsi="Arial"/>
          <w:color w:val="010000"/>
          <w:sz w:val="20"/>
        </w:rPr>
        <w:t>under applicable laws</w:t>
      </w:r>
      <w:r>
        <w:rPr>
          <w:rFonts w:ascii="Arial" w:hAnsi="Arial"/>
          <w:color w:val="010000"/>
          <w:sz w:val="20"/>
        </w:rPr>
        <w:t>.</w:t>
      </w:r>
    </w:p>
    <w:p w14:paraId="7DFFD47D" w14:textId="77777777"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Terms of enforcement</w:t>
      </w:r>
    </w:p>
    <w:p w14:paraId="5A87B040" w14:textId="22A82BA4" w:rsidR="00994D15" w:rsidRDefault="00D00D74" w:rsidP="00B23D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takes effect from the date of its promulgation. The Board of Directors, </w:t>
      </w:r>
      <w:r w:rsidR="00B23D5E">
        <w:rPr>
          <w:rFonts w:ascii="Arial" w:hAnsi="Arial"/>
          <w:color w:val="010000"/>
          <w:sz w:val="20"/>
        </w:rPr>
        <w:t>Executive Board</w:t>
      </w:r>
      <w:bookmarkStart w:id="1" w:name="_GoBack"/>
      <w:bookmarkEnd w:id="1"/>
      <w:r>
        <w:rPr>
          <w:rFonts w:ascii="Arial" w:hAnsi="Arial"/>
          <w:color w:val="010000"/>
          <w:sz w:val="20"/>
        </w:rPr>
        <w:t xml:space="preserve"> and related departments are responsible for implementing this General Mandate.</w:t>
      </w:r>
    </w:p>
    <w:sectPr w:rsidR="00994D1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39D"/>
    <w:multiLevelType w:val="multilevel"/>
    <w:tmpl w:val="D0747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31A89"/>
    <w:multiLevelType w:val="multilevel"/>
    <w:tmpl w:val="73889FC0"/>
    <w:lvl w:ilvl="0">
      <w:start w:val="1"/>
      <w:numFmt w:val="decimal"/>
      <w:lvlText w:val="%1."/>
      <w:lvlJc w:val="left"/>
      <w:pPr>
        <w:ind w:left="23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512E1"/>
    <w:multiLevelType w:val="multilevel"/>
    <w:tmpl w:val="C9B0E2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A2251A"/>
    <w:multiLevelType w:val="multilevel"/>
    <w:tmpl w:val="1CD47602"/>
    <w:lvl w:ilvl="0">
      <w:start w:val="1"/>
      <w:numFmt w:val="bullet"/>
      <w:lvlText w:val="-"/>
      <w:lvlJc w:val="left"/>
      <w:pPr>
        <w:ind w:left="0" w:firstLine="0"/>
      </w:pPr>
      <w:rPr>
        <w:rFonts w:ascii="Arial" w:eastAsia="Arial" w:hAnsi="Arial" w:cs="Arial"/>
        <w:b w:val="0"/>
        <w:i w:val="0"/>
        <w:smallCaps w:val="0"/>
        <w:strike w:val="0"/>
        <w:color w:val="1F1F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19652B1"/>
    <w:multiLevelType w:val="multilevel"/>
    <w:tmpl w:val="44328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B20899"/>
    <w:multiLevelType w:val="multilevel"/>
    <w:tmpl w:val="11E02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461BCB"/>
    <w:multiLevelType w:val="multilevel"/>
    <w:tmpl w:val="E1980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D836A9"/>
    <w:multiLevelType w:val="multilevel"/>
    <w:tmpl w:val="769A5182"/>
    <w:lvl w:ilvl="0">
      <w:start w:val="1"/>
      <w:numFmt w:val="bullet"/>
      <w:lvlText w:val="-"/>
      <w:lvlJc w:val="left"/>
      <w:pPr>
        <w:ind w:left="0" w:firstLine="0"/>
      </w:pPr>
      <w:rPr>
        <w:rFonts w:ascii="Arial" w:eastAsia="Arial" w:hAnsi="Arial" w:cs="Arial"/>
        <w:b w:val="0"/>
        <w:i w:val="0"/>
        <w:smallCaps w:val="0"/>
        <w:strike w:val="0"/>
        <w:color w:val="1F1F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5"/>
    <w:rsid w:val="003462BB"/>
    <w:rsid w:val="00994D15"/>
    <w:rsid w:val="00B23D5E"/>
    <w:rsid w:val="00D00D74"/>
    <w:rsid w:val="00FC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DC4C"/>
  <w15:docId w15:val="{3D11D224-566F-461A-B3DB-FC73C33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1F1F1F"/>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F1F1F"/>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F1F1F"/>
      <w:sz w:val="32"/>
      <w:szCs w:val="3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1F1F1F"/>
      <w:sz w:val="26"/>
      <w:szCs w:val="26"/>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color w:val="1F1F1F"/>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F1F1F"/>
      <w:sz w:val="20"/>
      <w:szCs w:val="2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strike w:val="0"/>
      <w:color w:val="97417E"/>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1F1F1F"/>
      <w:sz w:val="22"/>
      <w:szCs w:val="22"/>
      <w:u w:val="none"/>
      <w:shd w:val="clear" w:color="auto" w:fill="auto"/>
    </w:rPr>
  </w:style>
  <w:style w:type="paragraph" w:customStyle="1" w:styleId="Vnbnnidung20">
    <w:name w:val="Văn bản nội dung (2)"/>
    <w:basedOn w:val="Normal"/>
    <w:link w:val="Vnbnnidung2"/>
    <w:pPr>
      <w:spacing w:line="293" w:lineRule="auto"/>
    </w:pPr>
    <w:rPr>
      <w:rFonts w:ascii="Times New Roman" w:eastAsia="Times New Roman" w:hAnsi="Times New Roman" w:cs="Times New Roman"/>
      <w:b/>
      <w:bCs/>
      <w:color w:val="1F1F1F"/>
    </w:rPr>
  </w:style>
  <w:style w:type="paragraph" w:customStyle="1" w:styleId="Vnbnnidung0">
    <w:name w:val="Văn bản nội dung"/>
    <w:basedOn w:val="Normal"/>
    <w:link w:val="Vnbnnidung"/>
    <w:pPr>
      <w:spacing w:line="341" w:lineRule="auto"/>
    </w:pPr>
    <w:rPr>
      <w:rFonts w:ascii="Times New Roman" w:eastAsia="Times New Roman" w:hAnsi="Times New Roman" w:cs="Times New Roman"/>
      <w:color w:val="1F1F1F"/>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1F1F1F"/>
      <w:sz w:val="32"/>
      <w:szCs w:val="32"/>
    </w:rPr>
  </w:style>
  <w:style w:type="paragraph" w:customStyle="1" w:styleId="Tiu30">
    <w:name w:val="Tiêu đề #3"/>
    <w:basedOn w:val="Normal"/>
    <w:link w:val="Tiu3"/>
    <w:pPr>
      <w:jc w:val="center"/>
      <w:outlineLvl w:val="2"/>
    </w:pPr>
    <w:rPr>
      <w:rFonts w:ascii="Times New Roman" w:eastAsia="Times New Roman" w:hAnsi="Times New Roman" w:cs="Times New Roman"/>
      <w:b/>
      <w:bCs/>
      <w:color w:val="1F1F1F"/>
      <w:sz w:val="26"/>
      <w:szCs w:val="26"/>
    </w:rPr>
  </w:style>
  <w:style w:type="paragraph" w:customStyle="1" w:styleId="Tiu40">
    <w:name w:val="Tiêu đề #4"/>
    <w:basedOn w:val="Normal"/>
    <w:link w:val="Tiu4"/>
    <w:pPr>
      <w:spacing w:line="307" w:lineRule="auto"/>
      <w:ind w:firstLine="280"/>
      <w:outlineLvl w:val="3"/>
    </w:pPr>
    <w:rPr>
      <w:rFonts w:ascii="Times New Roman" w:eastAsia="Times New Roman" w:hAnsi="Times New Roman" w:cs="Times New Roman"/>
      <w:b/>
      <w:bCs/>
      <w:color w:val="1F1F1F"/>
      <w:sz w:val="22"/>
      <w:szCs w:val="22"/>
    </w:rPr>
  </w:style>
  <w:style w:type="paragraph" w:customStyle="1" w:styleId="Khc0">
    <w:name w:val="Khác"/>
    <w:basedOn w:val="Normal"/>
    <w:link w:val="Khc"/>
    <w:pPr>
      <w:spacing w:line="341" w:lineRule="auto"/>
    </w:pPr>
    <w:rPr>
      <w:rFonts w:ascii="Times New Roman" w:eastAsia="Times New Roman" w:hAnsi="Times New Roman" w:cs="Times New Roman"/>
      <w:color w:val="1F1F1F"/>
      <w:sz w:val="20"/>
      <w:szCs w:val="20"/>
    </w:rPr>
  </w:style>
  <w:style w:type="paragraph" w:customStyle="1" w:styleId="Tiu20">
    <w:name w:val="Tiêu đề #2"/>
    <w:basedOn w:val="Normal"/>
    <w:link w:val="Tiu2"/>
    <w:pPr>
      <w:outlineLvl w:val="1"/>
    </w:pPr>
    <w:rPr>
      <w:rFonts w:ascii="Arial" w:eastAsia="Arial" w:hAnsi="Arial" w:cs="Arial"/>
      <w:smallCaps/>
      <w:color w:val="97417E"/>
      <w:sz w:val="28"/>
      <w:szCs w:val="28"/>
    </w:rPr>
  </w:style>
  <w:style w:type="paragraph" w:customStyle="1" w:styleId="Chthchbng0">
    <w:name w:val="Chú thích bảng"/>
    <w:basedOn w:val="Normal"/>
    <w:link w:val="Chthchbng"/>
    <w:pPr>
      <w:spacing w:line="302" w:lineRule="auto"/>
    </w:pPr>
    <w:rPr>
      <w:rFonts w:ascii="Times New Roman" w:eastAsia="Times New Roman" w:hAnsi="Times New Roman" w:cs="Times New Roman"/>
      <w:b/>
      <w:bCs/>
      <w:color w:val="1F1F1F"/>
      <w:sz w:val="22"/>
      <w:szCs w:val="22"/>
    </w:rPr>
  </w:style>
  <w:style w:type="table" w:styleId="TableGrid">
    <w:name w:val="Table Grid"/>
    <w:basedOn w:val="TableNormal"/>
    <w:uiPriority w:val="39"/>
    <w:rsid w:val="00D1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AoB1NxMDbYHbMBDObVfcfJ7Bfw==">CgMxLjAyCGguZ2pkZ3hzOAByITFaUUZYTF90STJMcGJuQ3ZKVHJfcVRUOFB2R09zdmhlcA==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2024-07-03T03:29:00Z</dcterms:created>
  <dcterms:modified xsi:type="dcterms:W3CDTF">2024-07-03T03:29:00Z</dcterms:modified>
</cp:coreProperties>
</file>