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F1AAFB7" w:rsidR="00640741" w:rsidRDefault="00A621B8" w:rsidP="00AE5D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VMC: Notice on share </w:t>
      </w:r>
      <w:r w:rsidR="00AE5D05">
        <w:rPr>
          <w:rFonts w:ascii="Arial" w:hAnsi="Arial"/>
          <w:b/>
          <w:color w:val="010000"/>
          <w:sz w:val="20"/>
        </w:rPr>
        <w:t>issue to increase charter</w:t>
      </w:r>
      <w:r>
        <w:rPr>
          <w:rFonts w:ascii="Arial" w:hAnsi="Arial"/>
          <w:b/>
          <w:color w:val="010000"/>
          <w:sz w:val="20"/>
        </w:rPr>
        <w:t xml:space="preserve"> capital </w:t>
      </w:r>
      <w:r w:rsidR="00AE5D05">
        <w:rPr>
          <w:rFonts w:ascii="Arial" w:hAnsi="Arial"/>
          <w:b/>
          <w:color w:val="010000"/>
          <w:sz w:val="20"/>
        </w:rPr>
        <w:t>out of owner’s</w:t>
      </w:r>
      <w:r>
        <w:rPr>
          <w:rFonts w:ascii="Arial" w:hAnsi="Arial"/>
          <w:b/>
          <w:color w:val="010000"/>
          <w:sz w:val="20"/>
        </w:rPr>
        <w:t xml:space="preserve"> equity</w:t>
      </w:r>
    </w:p>
    <w:p w14:paraId="00000002" w14:textId="2DE43043" w:rsidR="00640741" w:rsidRDefault="00A621B8" w:rsidP="00AE5D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July 01, 2024, </w:t>
      </w:r>
      <w:proofErr w:type="spellStart"/>
      <w:r>
        <w:rPr>
          <w:rFonts w:ascii="Arial" w:hAnsi="Arial"/>
          <w:color w:val="010000"/>
          <w:sz w:val="20"/>
        </w:rPr>
        <w:t>Vimeco</w:t>
      </w:r>
      <w:proofErr w:type="spellEnd"/>
      <w:r>
        <w:rPr>
          <w:rFonts w:ascii="Arial" w:hAnsi="Arial"/>
          <w:color w:val="010000"/>
          <w:sz w:val="20"/>
        </w:rPr>
        <w:t xml:space="preserve"> JSC announced Notice No. ...</w:t>
      </w:r>
      <w:r w:rsidR="0056162E">
        <w:rPr>
          <w:rFonts w:ascii="Arial" w:hAnsi="Arial"/>
          <w:color w:val="010000"/>
          <w:sz w:val="20"/>
        </w:rPr>
        <w:t>/2024/TB-VMC</w:t>
      </w:r>
      <w:r>
        <w:rPr>
          <w:rFonts w:ascii="Arial" w:hAnsi="Arial"/>
          <w:color w:val="010000"/>
          <w:sz w:val="20"/>
        </w:rPr>
        <w:t xml:space="preserve"> on the share </w:t>
      </w:r>
      <w:r w:rsidR="00AE5D05">
        <w:rPr>
          <w:rFonts w:ascii="Arial" w:hAnsi="Arial"/>
          <w:color w:val="010000"/>
          <w:sz w:val="20"/>
        </w:rPr>
        <w:t>issue</w:t>
      </w:r>
      <w:r>
        <w:rPr>
          <w:rFonts w:ascii="Arial" w:hAnsi="Arial"/>
          <w:color w:val="010000"/>
          <w:sz w:val="20"/>
        </w:rPr>
        <w:t xml:space="preserve"> to increase share capital from the source of owners’ equity as follows:</w:t>
      </w:r>
    </w:p>
    <w:p w14:paraId="00000003" w14:textId="25A89379" w:rsidR="00640741" w:rsidRDefault="00A621B8" w:rsidP="00AE5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Plan on share </w:t>
      </w:r>
      <w:r w:rsidR="00AE5D05">
        <w:rPr>
          <w:rFonts w:ascii="Arial" w:hAnsi="Arial"/>
          <w:color w:val="010000"/>
          <w:sz w:val="20"/>
        </w:rPr>
        <w:t>issue</w:t>
      </w:r>
      <w:r>
        <w:rPr>
          <w:rFonts w:ascii="Arial" w:hAnsi="Arial"/>
          <w:color w:val="010000"/>
          <w:sz w:val="20"/>
        </w:rPr>
        <w:t xml:space="preserve"> to increase share capital from the source of owners’ equity</w:t>
      </w:r>
    </w:p>
    <w:p w14:paraId="00000004" w14:textId="77777777" w:rsidR="00640741" w:rsidRDefault="00A621B8" w:rsidP="00AE5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name: Shares of </w:t>
      </w:r>
      <w:proofErr w:type="spellStart"/>
      <w:r>
        <w:rPr>
          <w:rFonts w:ascii="Arial" w:hAnsi="Arial"/>
          <w:color w:val="010000"/>
          <w:sz w:val="20"/>
        </w:rPr>
        <w:t>Vimeco</w:t>
      </w:r>
      <w:proofErr w:type="spellEnd"/>
      <w:r>
        <w:rPr>
          <w:rFonts w:ascii="Arial" w:hAnsi="Arial"/>
          <w:color w:val="010000"/>
          <w:sz w:val="20"/>
        </w:rPr>
        <w:t xml:space="preserve"> JSC</w:t>
      </w:r>
    </w:p>
    <w:p w14:paraId="00000005" w14:textId="77777777" w:rsidR="00640741" w:rsidRDefault="00A621B8" w:rsidP="00AE5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type: Common share</w:t>
      </w:r>
    </w:p>
    <w:p w14:paraId="00000006" w14:textId="77777777" w:rsidR="00640741" w:rsidRDefault="00A621B8" w:rsidP="00AE5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number of issued shares: 23,758,951 shares</w:t>
      </w:r>
    </w:p>
    <w:p w14:paraId="00000007" w14:textId="77777777" w:rsidR="00640741" w:rsidRDefault="00A621B8" w:rsidP="00AE5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3"/>
          <w:tab w:val="right" w:pos="1778"/>
          <w:tab w:val="left" w:pos="1983"/>
          <w:tab w:val="right" w:pos="65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Number of outstanding shares: 23,758,951 shares</w:t>
      </w:r>
    </w:p>
    <w:p w14:paraId="00000008" w14:textId="073819B1" w:rsidR="00640741" w:rsidRDefault="00A621B8" w:rsidP="00AE5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3"/>
          <w:tab w:val="right" w:pos="1778"/>
          <w:tab w:val="left" w:pos="1974"/>
          <w:tab w:val="right" w:pos="43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Number of treasury shares: 0 shares</w:t>
      </w:r>
    </w:p>
    <w:p w14:paraId="00000009" w14:textId="77777777" w:rsidR="00640741" w:rsidRDefault="00A621B8" w:rsidP="00AE5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3"/>
          <w:tab w:val="right" w:pos="1778"/>
          <w:tab w:val="left" w:pos="1983"/>
          <w:tab w:val="right" w:pos="68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Number of shares expected to be issued: 2,375,895 shares</w:t>
      </w:r>
    </w:p>
    <w:p w14:paraId="0000000A" w14:textId="77777777" w:rsidR="00640741" w:rsidRDefault="00A621B8" w:rsidP="00AE5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3"/>
          <w:tab w:val="left" w:pos="1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issue value at par value: VND23,758,950,000</w:t>
      </w:r>
    </w:p>
    <w:p w14:paraId="0000000B" w14:textId="62B79690" w:rsidR="00640741" w:rsidRDefault="00A621B8" w:rsidP="00AE5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Rights exercise rate: 100:10 (Based on the record date for allocating rights, </w:t>
      </w:r>
      <w:r w:rsidR="00AE5D05">
        <w:rPr>
          <w:rFonts w:ascii="Arial" w:hAnsi="Arial"/>
          <w:color w:val="010000"/>
          <w:sz w:val="20"/>
        </w:rPr>
        <w:t>outstanding</w:t>
      </w:r>
      <w:r>
        <w:rPr>
          <w:rFonts w:ascii="Arial" w:hAnsi="Arial"/>
          <w:color w:val="010000"/>
          <w:sz w:val="20"/>
        </w:rPr>
        <w:t xml:space="preserve"> shareholders owning 01 corresponding share will receive 01 right to receive shares issued to increase capital from the source of owners’ equity; for every 100 rights, existing shareholders will receive 10 additional shares).</w:t>
      </w:r>
    </w:p>
    <w:p w14:paraId="0000000C" w14:textId="66D07B9A" w:rsidR="00640741" w:rsidRDefault="00A621B8" w:rsidP="00AE5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Capital sources used to issue shares to increase share capital </w:t>
      </w:r>
      <w:r w:rsidR="00AE5D05">
        <w:rPr>
          <w:rFonts w:ascii="Arial" w:hAnsi="Arial"/>
          <w:color w:val="010000"/>
          <w:sz w:val="20"/>
        </w:rPr>
        <w:t>out of owner’s</w:t>
      </w:r>
      <w:r>
        <w:rPr>
          <w:rFonts w:ascii="Arial" w:hAnsi="Arial"/>
          <w:color w:val="010000"/>
          <w:sz w:val="20"/>
        </w:rPr>
        <w:t xml:space="preserve"> equity: From undistributed profit after tax and after appropriation for funds </w:t>
      </w:r>
      <w:r w:rsidR="00AE5D05">
        <w:rPr>
          <w:rFonts w:ascii="Arial" w:hAnsi="Arial"/>
          <w:color w:val="010000"/>
          <w:sz w:val="20"/>
        </w:rPr>
        <w:t>under applicable laws</w:t>
      </w:r>
      <w:r>
        <w:rPr>
          <w:rFonts w:ascii="Arial" w:hAnsi="Arial"/>
          <w:color w:val="010000"/>
          <w:sz w:val="20"/>
        </w:rPr>
        <w:t xml:space="preserve"> as of December 31, 2023 based on the Company's Audited Consolidated Financial Statements 2023.</w:t>
      </w:r>
    </w:p>
    <w:p w14:paraId="0000000D" w14:textId="77777777" w:rsidR="00640741" w:rsidRDefault="00A621B8" w:rsidP="00AE5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 on handling fractional shares:</w:t>
      </w:r>
    </w:p>
    <w:p w14:paraId="0000000E" w14:textId="2D6E6408" w:rsidR="00640741" w:rsidRDefault="00A621B8" w:rsidP="00AE5D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Shares issued to increase share c</w:t>
      </w:r>
      <w:r w:rsidR="00AE5D05">
        <w:rPr>
          <w:rFonts w:ascii="Arial" w:hAnsi="Arial"/>
          <w:color w:val="010000"/>
          <w:sz w:val="20"/>
        </w:rPr>
        <w:t>apital out of owner</w:t>
      </w:r>
      <w:r>
        <w:rPr>
          <w:rFonts w:ascii="Arial" w:hAnsi="Arial"/>
          <w:color w:val="010000"/>
          <w:sz w:val="20"/>
        </w:rPr>
        <w:t>’</w:t>
      </w:r>
      <w:r w:rsidR="00AE5D05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 equity for each shareholder will be rounded down to the nearest unit. Fractional shares (</w:t>
      </w:r>
      <w:r w:rsidR="00AE5D05">
        <w:rPr>
          <w:rFonts w:ascii="Arial" w:hAnsi="Arial"/>
          <w:color w:val="010000"/>
          <w:sz w:val="20"/>
        </w:rPr>
        <w:t>decimal part) (if any) will be disposed of</w:t>
      </w:r>
      <w:r>
        <w:rPr>
          <w:rFonts w:ascii="Arial" w:hAnsi="Arial"/>
          <w:color w:val="010000"/>
          <w:sz w:val="20"/>
        </w:rPr>
        <w:t xml:space="preserve"> and not be issued.</w:t>
      </w:r>
    </w:p>
    <w:p w14:paraId="0000000F" w14:textId="3A0A6B63" w:rsidR="00640741" w:rsidRDefault="00A621B8" w:rsidP="00AE5D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6"/>
          <w:tab w:val="left" w:pos="2439"/>
          <w:tab w:val="left" w:pos="3481"/>
          <w:tab w:val="left" w:pos="3951"/>
          <w:tab w:val="left" w:pos="5734"/>
          <w:tab w:val="left" w:pos="6610"/>
          <w:tab w:val="left" w:pos="7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For example: At the record date to exercise the right to receive shares issued to increase share capital from the source of owners’ equity, shareholder Nguyen Van A owns 185 shares. With the rights exercise rate of 100:10, shareholder A will receive the number of shares issued to increase share capital from the source of owners’ equity as follows: (185*10)/100 = 18.5 shares. According to the plan on rounding and handling fractional shares, the number of shares issued to increase share capital from the source of owners’ equity that shareholder Nguyen Van A will receive is 18 shares.</w:t>
      </w:r>
      <w:r w:rsidR="00AE5D05">
        <w:rPr>
          <w:rFonts w:ascii="Arial" w:hAnsi="Arial"/>
          <w:color w:val="010000"/>
          <w:sz w:val="20"/>
        </w:rPr>
        <w:t xml:space="preserve"> 0.5 fractional shares will be disposed of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.</w:t>
      </w:r>
    </w:p>
    <w:p w14:paraId="00000010" w14:textId="77777777" w:rsidR="00640741" w:rsidRDefault="00A621B8" w:rsidP="00AE5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 for allocating rights: July 18, 2024</w:t>
      </w:r>
    </w:p>
    <w:p w14:paraId="00000011" w14:textId="77777777" w:rsidR="00640741" w:rsidRDefault="00640741" w:rsidP="00AE5D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40741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7E3"/>
    <w:multiLevelType w:val="multilevel"/>
    <w:tmpl w:val="366638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163068"/>
    <w:multiLevelType w:val="multilevel"/>
    <w:tmpl w:val="92CC107C"/>
    <w:lvl w:ilvl="0">
      <w:start w:val="1"/>
      <w:numFmt w:val="decimal"/>
      <w:lvlText w:val="I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41"/>
    <w:rsid w:val="0056162E"/>
    <w:rsid w:val="00640741"/>
    <w:rsid w:val="00A621B8"/>
    <w:rsid w:val="00A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9C20"/>
  <w15:docId w15:val="{7D11B6B0-DA6E-4998-A188-389B00C2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8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ind w:firstLine="160"/>
    </w:pPr>
    <w:rPr>
      <w:rFonts w:ascii="Arial" w:eastAsia="Arial" w:hAnsi="Arial" w:cs="Arial"/>
      <w:sz w:val="46"/>
      <w:szCs w:val="4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RK2MtCCW/w9Z2mt1FLA9kNvdxQ==">CgMxLjA4AHIhMUh5dFQzbldzWU83MmRsMVZmTElZZFdmaGZjMFNDZjlm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Duc Quan</cp:lastModifiedBy>
  <cp:revision>2</cp:revision>
  <dcterms:created xsi:type="dcterms:W3CDTF">2024-07-03T03:41:00Z</dcterms:created>
  <dcterms:modified xsi:type="dcterms:W3CDTF">2024-07-03T03:41:00Z</dcterms:modified>
</cp:coreProperties>
</file>