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884173">
        <w:rPr>
          <w:rFonts w:ascii="Arial" w:hAnsi="Arial" w:cs="Arial"/>
          <w:b/>
          <w:color w:val="010000"/>
          <w:sz w:val="20"/>
        </w:rPr>
        <w:t>MPC: Board Resolution</w:t>
      </w:r>
    </w:p>
    <w:p w14:paraId="00000002" w14:textId="3C4FB14E"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On July 25, 2024, Minh Phu Seafood Corp. announced Resolution </w:t>
      </w:r>
      <w:r w:rsidR="00644AB6" w:rsidRPr="00884173">
        <w:rPr>
          <w:rFonts w:ascii="Arial" w:hAnsi="Arial" w:cs="Arial"/>
          <w:color w:val="010000"/>
          <w:sz w:val="20"/>
        </w:rPr>
        <w:t xml:space="preserve">No. </w:t>
      </w:r>
      <w:r w:rsidRPr="00884173">
        <w:rPr>
          <w:rFonts w:ascii="Arial" w:hAnsi="Arial" w:cs="Arial"/>
          <w:color w:val="010000"/>
          <w:sz w:val="20"/>
        </w:rPr>
        <w:t>06NQ.HDQT/MPC24 as follows:</w:t>
      </w:r>
    </w:p>
    <w:p w14:paraId="00000003" w14:textId="593DF82E"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‎‎Article 1. Approve the implementation of the plan on share issuance under the </w:t>
      </w:r>
      <w:r w:rsidR="00644AB6" w:rsidRPr="00884173">
        <w:rPr>
          <w:rFonts w:ascii="Arial" w:hAnsi="Arial" w:cs="Arial"/>
          <w:color w:val="010000"/>
          <w:sz w:val="20"/>
        </w:rPr>
        <w:t>E</w:t>
      </w:r>
      <w:r w:rsidRPr="00884173">
        <w:rPr>
          <w:rFonts w:ascii="Arial" w:hAnsi="Arial" w:cs="Arial"/>
          <w:color w:val="010000"/>
          <w:sz w:val="20"/>
        </w:rPr>
        <w:t xml:space="preserve">mployee </w:t>
      </w:r>
      <w:r w:rsidR="00644AB6" w:rsidRPr="00884173">
        <w:rPr>
          <w:rFonts w:ascii="Arial" w:hAnsi="Arial" w:cs="Arial"/>
          <w:color w:val="010000"/>
          <w:sz w:val="20"/>
        </w:rPr>
        <w:t>Stock Ownership P</w:t>
      </w:r>
      <w:r w:rsidRPr="00884173">
        <w:rPr>
          <w:rFonts w:ascii="Arial" w:hAnsi="Arial" w:cs="Arial"/>
          <w:color w:val="010000"/>
          <w:sz w:val="20"/>
        </w:rPr>
        <w:t>lan approved by the Annual General Meeting of Shareholders 2024 on June 22, 2024</w:t>
      </w:r>
      <w:r w:rsidR="00644AB6" w:rsidRPr="00884173">
        <w:rPr>
          <w:rFonts w:ascii="Arial" w:hAnsi="Arial" w:cs="Arial"/>
          <w:color w:val="010000"/>
          <w:sz w:val="20"/>
        </w:rPr>
        <w:t>,</w:t>
      </w:r>
      <w:r w:rsidRPr="00884173">
        <w:rPr>
          <w:rFonts w:ascii="Arial" w:hAnsi="Arial" w:cs="Arial"/>
          <w:color w:val="010000"/>
          <w:sz w:val="20"/>
        </w:rPr>
        <w:t xml:space="preserve"> as follows:</w:t>
      </w:r>
    </w:p>
    <w:p w14:paraId="00000004"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Share name: Share of Minh Phu Seafood Corp.</w:t>
      </w:r>
    </w:p>
    <w:p w14:paraId="00000005"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Par value: VND10,000/share</w:t>
      </w:r>
    </w:p>
    <w:p w14:paraId="00000006"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Current charter capital: VND3,998,873,000,000</w:t>
      </w:r>
    </w:p>
    <w:p w14:paraId="00000007" w14:textId="75D577FB"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Total number of issued shares: 399,887,300 shares.</w:t>
      </w:r>
    </w:p>
    <w:p w14:paraId="00000008" w14:textId="77777777"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In which:</w:t>
      </w:r>
    </w:p>
    <w:p w14:paraId="00000009" w14:textId="77777777" w:rsidR="00AA768F" w:rsidRPr="00884173" w:rsidRDefault="00884173" w:rsidP="00644AB6">
      <w:pPr>
        <w:numPr>
          <w:ilvl w:val="0"/>
          <w:numId w:val="2"/>
        </w:numPr>
        <w:pBdr>
          <w:top w:val="nil"/>
          <w:left w:val="nil"/>
          <w:bottom w:val="nil"/>
          <w:right w:val="nil"/>
          <w:between w:val="nil"/>
        </w:pBdr>
        <w:tabs>
          <w:tab w:val="left" w:pos="432"/>
          <w:tab w:val="left" w:pos="1041"/>
        </w:tabs>
        <w:spacing w:after="120" w:line="360" w:lineRule="auto"/>
        <w:rPr>
          <w:rFonts w:ascii="Arial" w:eastAsia="Arial" w:hAnsi="Arial" w:cs="Arial"/>
          <w:color w:val="010000"/>
          <w:sz w:val="20"/>
          <w:szCs w:val="20"/>
        </w:rPr>
      </w:pPr>
      <w:r w:rsidRPr="00884173">
        <w:rPr>
          <w:rFonts w:ascii="Arial" w:hAnsi="Arial" w:cs="Arial"/>
          <w:color w:val="010000"/>
          <w:sz w:val="20"/>
        </w:rPr>
        <w:t>Total number of outstanding shares: 399,887,300 shares</w:t>
      </w:r>
    </w:p>
    <w:p w14:paraId="0000000A" w14:textId="1968E14E" w:rsidR="00AA768F" w:rsidRPr="00884173" w:rsidRDefault="00884173" w:rsidP="00644AB6">
      <w:pPr>
        <w:numPr>
          <w:ilvl w:val="0"/>
          <w:numId w:val="2"/>
        </w:numPr>
        <w:pBdr>
          <w:top w:val="nil"/>
          <w:left w:val="nil"/>
          <w:bottom w:val="nil"/>
          <w:right w:val="nil"/>
          <w:between w:val="nil"/>
        </w:pBdr>
        <w:tabs>
          <w:tab w:val="left" w:pos="432"/>
          <w:tab w:val="left" w:pos="1041"/>
        </w:tabs>
        <w:spacing w:after="120" w:line="360" w:lineRule="auto"/>
        <w:rPr>
          <w:rFonts w:ascii="Arial" w:eastAsia="Arial" w:hAnsi="Arial" w:cs="Arial"/>
          <w:color w:val="010000"/>
          <w:sz w:val="20"/>
          <w:szCs w:val="20"/>
        </w:rPr>
      </w:pPr>
      <w:r w:rsidRPr="00884173">
        <w:rPr>
          <w:rFonts w:ascii="Arial" w:hAnsi="Arial" w:cs="Arial"/>
          <w:color w:val="010000"/>
          <w:sz w:val="20"/>
        </w:rPr>
        <w:t>Total treasury shares: 0 share</w:t>
      </w:r>
      <w:r w:rsidR="00644AB6" w:rsidRPr="00884173">
        <w:rPr>
          <w:rFonts w:ascii="Arial" w:hAnsi="Arial" w:cs="Arial"/>
          <w:color w:val="010000"/>
          <w:sz w:val="20"/>
        </w:rPr>
        <w:t>s</w:t>
      </w:r>
    </w:p>
    <w:p w14:paraId="0000000B"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Maximum number of shares expected to be issued 1,051,000 shares</w:t>
      </w:r>
    </w:p>
    <w:p w14:paraId="0000000C"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Maximum expected total issuance value at par value: VND10,510,000,000</w:t>
      </w:r>
    </w:p>
    <w:p w14:paraId="0000000D"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Rate of number of issued shares (number of shares expected to be issued/number of outstanding shares): Equivalent to 0.26%.</w:t>
      </w:r>
    </w:p>
    <w:p w14:paraId="0000000E" w14:textId="77777777" w:rsidR="00AA768F" w:rsidRPr="00884173" w:rsidRDefault="00884173" w:rsidP="00644AB6">
      <w:pPr>
        <w:numPr>
          <w:ilvl w:val="0"/>
          <w:numId w:val="1"/>
        </w:numPr>
        <w:pBdr>
          <w:top w:val="nil"/>
          <w:left w:val="nil"/>
          <w:bottom w:val="nil"/>
          <w:right w:val="nil"/>
          <w:between w:val="nil"/>
        </w:pBdr>
        <w:tabs>
          <w:tab w:val="left" w:pos="432"/>
          <w:tab w:val="left" w:pos="801"/>
        </w:tabs>
        <w:spacing w:after="120" w:line="360" w:lineRule="auto"/>
        <w:rPr>
          <w:rFonts w:ascii="Arial" w:eastAsia="Arial" w:hAnsi="Arial" w:cs="Arial"/>
          <w:color w:val="010000"/>
          <w:sz w:val="20"/>
          <w:szCs w:val="20"/>
        </w:rPr>
      </w:pPr>
      <w:r w:rsidRPr="00884173">
        <w:rPr>
          <w:rFonts w:ascii="Arial" w:hAnsi="Arial" w:cs="Arial"/>
          <w:color w:val="010000"/>
          <w:sz w:val="20"/>
        </w:rPr>
        <w:t>Issuance price: VND10,000/share</w:t>
      </w:r>
    </w:p>
    <w:p w14:paraId="0000000F" w14:textId="7CAE6703" w:rsidR="00AA768F" w:rsidRPr="00884173" w:rsidRDefault="00884173" w:rsidP="00644AB6">
      <w:pPr>
        <w:numPr>
          <w:ilvl w:val="0"/>
          <w:numId w:val="1"/>
        </w:numPr>
        <w:pBdr>
          <w:top w:val="nil"/>
          <w:left w:val="nil"/>
          <w:bottom w:val="nil"/>
          <w:right w:val="nil"/>
          <w:between w:val="nil"/>
        </w:pBdr>
        <w:tabs>
          <w:tab w:val="left" w:pos="432"/>
          <w:tab w:val="left" w:pos="824"/>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Subjects of the issuance: Employees currently working at </w:t>
      </w:r>
      <w:r w:rsidR="00644AB6" w:rsidRPr="00884173">
        <w:rPr>
          <w:rFonts w:ascii="Arial" w:hAnsi="Arial" w:cs="Arial"/>
          <w:color w:val="010000"/>
          <w:sz w:val="20"/>
        </w:rPr>
        <w:t xml:space="preserve">Minh Phu Seafood Corp. </w:t>
      </w:r>
      <w:r w:rsidRPr="00884173">
        <w:rPr>
          <w:rFonts w:ascii="Arial" w:hAnsi="Arial" w:cs="Arial"/>
          <w:color w:val="010000"/>
          <w:sz w:val="20"/>
        </w:rPr>
        <w:t xml:space="preserve"> according to the standards specified in the Regulations on issuance of shares under the ESOP of Minh Phu Seafood Corp. and the list approved by the Board of Directors</w:t>
      </w:r>
    </w:p>
    <w:p w14:paraId="00000010" w14:textId="0BFAC424" w:rsidR="00AA768F" w:rsidRPr="00884173" w:rsidRDefault="00884173" w:rsidP="00644AB6">
      <w:pPr>
        <w:numPr>
          <w:ilvl w:val="0"/>
          <w:numId w:val="1"/>
        </w:numPr>
        <w:pBdr>
          <w:top w:val="nil"/>
          <w:left w:val="nil"/>
          <w:bottom w:val="nil"/>
          <w:right w:val="nil"/>
          <w:between w:val="nil"/>
        </w:pBdr>
        <w:tabs>
          <w:tab w:val="left" w:pos="432"/>
          <w:tab w:val="left" w:pos="876"/>
        </w:tabs>
        <w:spacing w:after="120" w:line="360" w:lineRule="auto"/>
        <w:rPr>
          <w:rFonts w:ascii="Arial" w:eastAsia="Arial" w:hAnsi="Arial" w:cs="Arial"/>
          <w:color w:val="010000"/>
          <w:sz w:val="20"/>
          <w:szCs w:val="20"/>
        </w:rPr>
      </w:pPr>
      <w:r w:rsidRPr="00884173">
        <w:rPr>
          <w:rFonts w:ascii="Arial" w:hAnsi="Arial" w:cs="Arial"/>
          <w:color w:val="010000"/>
          <w:sz w:val="20"/>
        </w:rPr>
        <w:t>Principles for determining the number of shares distributed to each employee: The General Meeting of Shareholders authorize</w:t>
      </w:r>
      <w:r w:rsidR="00644AB6" w:rsidRPr="00884173">
        <w:rPr>
          <w:rFonts w:ascii="Arial" w:hAnsi="Arial" w:cs="Arial"/>
          <w:color w:val="010000"/>
          <w:sz w:val="20"/>
        </w:rPr>
        <w:t>d</w:t>
      </w:r>
      <w:r w:rsidRPr="00884173">
        <w:rPr>
          <w:rFonts w:ascii="Arial" w:hAnsi="Arial" w:cs="Arial"/>
          <w:color w:val="010000"/>
          <w:sz w:val="20"/>
        </w:rPr>
        <w:t xml:space="preserve"> the Board of Directors to decide on the criteria and list of employees participating in the </w:t>
      </w:r>
      <w:r w:rsidR="00644AB6" w:rsidRPr="00884173">
        <w:rPr>
          <w:rFonts w:ascii="Arial" w:hAnsi="Arial" w:cs="Arial"/>
          <w:color w:val="010000"/>
          <w:sz w:val="20"/>
        </w:rPr>
        <w:t>Plan</w:t>
      </w:r>
      <w:r w:rsidRPr="00884173">
        <w:rPr>
          <w:rFonts w:ascii="Arial" w:hAnsi="Arial" w:cs="Arial"/>
          <w:color w:val="010000"/>
          <w:sz w:val="20"/>
        </w:rPr>
        <w:t>, the principles for determining the number of shares issued to each employee, and calculating the detailed issuance rate based on the number of shares issued approved by the General Meeting of Shareholders.</w:t>
      </w:r>
    </w:p>
    <w:p w14:paraId="00000011" w14:textId="77777777" w:rsidR="00AA768F" w:rsidRPr="00884173" w:rsidRDefault="00884173" w:rsidP="00644AB6">
      <w:pPr>
        <w:numPr>
          <w:ilvl w:val="0"/>
          <w:numId w:val="1"/>
        </w:numPr>
        <w:pBdr>
          <w:top w:val="nil"/>
          <w:left w:val="nil"/>
          <w:bottom w:val="nil"/>
          <w:right w:val="nil"/>
          <w:between w:val="nil"/>
        </w:pBdr>
        <w:tabs>
          <w:tab w:val="left" w:pos="432"/>
          <w:tab w:val="left" w:pos="883"/>
        </w:tabs>
        <w:spacing w:after="120" w:line="360" w:lineRule="auto"/>
        <w:rPr>
          <w:rFonts w:ascii="Arial" w:eastAsia="Arial" w:hAnsi="Arial" w:cs="Arial"/>
          <w:color w:val="010000"/>
          <w:sz w:val="20"/>
          <w:szCs w:val="20"/>
        </w:rPr>
      </w:pPr>
      <w:r w:rsidRPr="00884173">
        <w:rPr>
          <w:rFonts w:ascii="Arial" w:hAnsi="Arial" w:cs="Arial"/>
          <w:color w:val="010000"/>
          <w:sz w:val="20"/>
        </w:rPr>
        <w:t>Transfer restriction: The issued shares will be subject to transfer restrictions for 05 years from the date of issuance end.</w:t>
      </w:r>
    </w:p>
    <w:p w14:paraId="00000012" w14:textId="2E43607C"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t>Handle in case of employee resignation during the period of commitment to limit transfer: Employees who are eligible to purchase shares under the ESOP and leave their jobs before the end of the above transfer period will be handled according to the Regulations on issuance of shares under the ESOP issued by the Board of Directors.</w:t>
      </w:r>
    </w:p>
    <w:p w14:paraId="00000013" w14:textId="7FA2004E"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t>Implementation time: Expected to be implemented in Q3/2024 and Q4/2024, after t</w:t>
      </w:r>
      <w:r w:rsidR="00644AB6" w:rsidRPr="00884173">
        <w:rPr>
          <w:rFonts w:ascii="Arial" w:hAnsi="Arial" w:cs="Arial"/>
          <w:color w:val="010000"/>
          <w:sz w:val="20"/>
        </w:rPr>
        <w:t xml:space="preserve">he State Securities Commission </w:t>
      </w:r>
      <w:r w:rsidRPr="00884173">
        <w:rPr>
          <w:rFonts w:ascii="Arial" w:hAnsi="Arial" w:cs="Arial"/>
          <w:color w:val="010000"/>
          <w:sz w:val="20"/>
        </w:rPr>
        <w:t>has notified it of receiving full issuance reporting documents.</w:t>
      </w:r>
    </w:p>
    <w:p w14:paraId="00000014" w14:textId="77777777"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lastRenderedPageBreak/>
        <w:t>Plan on using the proceeds from the issuance: All proceeds from the issuance will be used to increase charter capital, serve business needs and supplement the Company's working capital.</w:t>
      </w:r>
    </w:p>
    <w:p w14:paraId="00000015" w14:textId="342B7596"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t>Solution in case shares are not sold out: The General Meeting of Shareholders authorize</w:t>
      </w:r>
      <w:r w:rsidR="00644AB6" w:rsidRPr="00884173">
        <w:rPr>
          <w:rFonts w:ascii="Arial" w:hAnsi="Arial" w:cs="Arial"/>
          <w:color w:val="010000"/>
          <w:sz w:val="20"/>
        </w:rPr>
        <w:t>d</w:t>
      </w:r>
      <w:r w:rsidRPr="00884173">
        <w:rPr>
          <w:rFonts w:ascii="Arial" w:hAnsi="Arial" w:cs="Arial"/>
          <w:color w:val="010000"/>
          <w:sz w:val="20"/>
        </w:rPr>
        <w:t xml:space="preserve"> the Board of Directors to decide to allocate the unsold shares to other Employees in the list approved by the Board of Directors.</w:t>
      </w:r>
    </w:p>
    <w:p w14:paraId="00000016" w14:textId="024ADD34"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t>Commitment to listing securities on organized securities markets: After completing the issuance, the General Meeting of Shareholders approves and authorizes the Board of Directors to carry out additional securities registration procedures with Vietnam Securities Depository and Clearing Corporation and register additional securities transactions with Hanoi Stock Exchange.</w:t>
      </w:r>
    </w:p>
    <w:p w14:paraId="00000017" w14:textId="702E4ED1" w:rsidR="00AA768F" w:rsidRPr="00884173" w:rsidRDefault="00884173" w:rsidP="00644AB6">
      <w:pPr>
        <w:numPr>
          <w:ilvl w:val="0"/>
          <w:numId w:val="1"/>
        </w:numPr>
        <w:pBdr>
          <w:top w:val="nil"/>
          <w:left w:val="nil"/>
          <w:bottom w:val="nil"/>
          <w:right w:val="nil"/>
          <w:between w:val="nil"/>
        </w:pBdr>
        <w:tabs>
          <w:tab w:val="left" w:pos="432"/>
          <w:tab w:val="left" w:pos="886"/>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Approve </w:t>
      </w:r>
      <w:r w:rsidR="00644AB6" w:rsidRPr="00884173">
        <w:rPr>
          <w:rFonts w:ascii="Arial" w:hAnsi="Arial" w:cs="Arial"/>
          <w:color w:val="010000"/>
          <w:sz w:val="20"/>
        </w:rPr>
        <w:t>on changing the</w:t>
      </w:r>
      <w:r w:rsidRPr="00884173">
        <w:rPr>
          <w:rFonts w:ascii="Arial" w:hAnsi="Arial" w:cs="Arial"/>
          <w:color w:val="010000"/>
          <w:sz w:val="20"/>
        </w:rPr>
        <w:t xml:space="preserve"> charter capital: Approve </w:t>
      </w:r>
      <w:r w:rsidR="00644AB6" w:rsidRPr="00884173">
        <w:rPr>
          <w:rFonts w:ascii="Arial" w:hAnsi="Arial" w:cs="Arial"/>
          <w:color w:val="010000"/>
          <w:sz w:val="20"/>
        </w:rPr>
        <w:t>on changing</w:t>
      </w:r>
      <w:r w:rsidRPr="00884173">
        <w:rPr>
          <w:rFonts w:ascii="Arial" w:hAnsi="Arial" w:cs="Arial"/>
          <w:color w:val="010000"/>
          <w:sz w:val="20"/>
        </w:rPr>
        <w:t xml:space="preserve"> the Charter (Charter Capital Section) and adjust the Business Registration Certificate at Ca Mau Province </w:t>
      </w:r>
      <w:r w:rsidR="00644AB6" w:rsidRPr="00884173">
        <w:rPr>
          <w:rFonts w:ascii="Arial" w:hAnsi="Arial" w:cs="Arial"/>
          <w:color w:val="010000"/>
          <w:sz w:val="20"/>
        </w:rPr>
        <w:t>Department of Planning and Investment</w:t>
      </w:r>
      <w:r w:rsidRPr="00884173">
        <w:rPr>
          <w:rFonts w:ascii="Arial" w:hAnsi="Arial" w:cs="Arial"/>
          <w:color w:val="010000"/>
          <w:sz w:val="20"/>
        </w:rPr>
        <w:t xml:space="preserve"> after receiving the notice of the State Securities Commission on receiving the full Report on issuance results.</w:t>
      </w:r>
    </w:p>
    <w:p w14:paraId="00000018" w14:textId="232BDCA4"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‎‎Article 2. Approve the Regulations on </w:t>
      </w:r>
      <w:r w:rsidR="00644AB6" w:rsidRPr="00884173">
        <w:rPr>
          <w:rFonts w:ascii="Arial" w:hAnsi="Arial" w:cs="Arial"/>
          <w:color w:val="010000"/>
          <w:sz w:val="20"/>
        </w:rPr>
        <w:t>share issuance</w:t>
      </w:r>
      <w:r w:rsidRPr="00884173">
        <w:rPr>
          <w:rFonts w:ascii="Arial" w:hAnsi="Arial" w:cs="Arial"/>
          <w:color w:val="010000"/>
          <w:sz w:val="20"/>
        </w:rPr>
        <w:t xml:space="preserve"> under the </w:t>
      </w:r>
      <w:r w:rsidR="00644AB6" w:rsidRPr="00884173">
        <w:rPr>
          <w:rFonts w:ascii="Arial" w:hAnsi="Arial" w:cs="Arial"/>
          <w:color w:val="010000"/>
          <w:sz w:val="20"/>
        </w:rPr>
        <w:t xml:space="preserve">Employee Stock Ownership Plan </w:t>
      </w:r>
      <w:r w:rsidRPr="00884173">
        <w:rPr>
          <w:rFonts w:ascii="Arial" w:hAnsi="Arial" w:cs="Arial"/>
          <w:color w:val="010000"/>
          <w:sz w:val="20"/>
        </w:rPr>
        <w:t>2024 of Minh Phu Seafood Corp.</w:t>
      </w:r>
    </w:p>
    <w:p w14:paraId="00000019" w14:textId="6069C611"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Article 3. Approve the List of employees eligible to buy shares under the </w:t>
      </w:r>
      <w:r w:rsidR="00644AB6" w:rsidRPr="00884173">
        <w:rPr>
          <w:rFonts w:ascii="Arial" w:hAnsi="Arial" w:cs="Arial"/>
          <w:color w:val="010000"/>
          <w:sz w:val="20"/>
        </w:rPr>
        <w:t xml:space="preserve">Employee Stock Ownership Plan </w:t>
      </w:r>
      <w:r w:rsidRPr="00884173">
        <w:rPr>
          <w:rFonts w:ascii="Arial" w:hAnsi="Arial" w:cs="Arial"/>
          <w:color w:val="010000"/>
          <w:sz w:val="20"/>
        </w:rPr>
        <w:t>2024</w:t>
      </w:r>
    </w:p>
    <w:p w14:paraId="0000001A" w14:textId="5067C36A"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Article 4: Approve the plan to ensure the </w:t>
      </w:r>
      <w:r w:rsidR="00644AB6" w:rsidRPr="00884173">
        <w:rPr>
          <w:rFonts w:ascii="Arial" w:hAnsi="Arial" w:cs="Arial"/>
          <w:color w:val="010000"/>
          <w:sz w:val="20"/>
        </w:rPr>
        <w:t>share issuance</w:t>
      </w:r>
      <w:r w:rsidRPr="00884173">
        <w:rPr>
          <w:rFonts w:ascii="Arial" w:hAnsi="Arial" w:cs="Arial"/>
          <w:color w:val="010000"/>
          <w:sz w:val="20"/>
        </w:rPr>
        <w:t xml:space="preserve"> meets the regulations on maximum foreign ownership rate at Minh Phu Seafood Corp. as follows:</w:t>
      </w:r>
    </w:p>
    <w:p w14:paraId="0000001B" w14:textId="758E393D" w:rsidR="00AA768F" w:rsidRPr="00884173" w:rsidRDefault="00884173" w:rsidP="00644AB6">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t xml:space="preserve">Maximum foreign ownership rate in the Company: 50% (according to Official Dispatch </w:t>
      </w:r>
      <w:r w:rsidR="00644AB6" w:rsidRPr="00884173">
        <w:rPr>
          <w:rFonts w:ascii="Arial" w:hAnsi="Arial" w:cs="Arial"/>
          <w:color w:val="010000"/>
          <w:sz w:val="20"/>
        </w:rPr>
        <w:t xml:space="preserve">No. </w:t>
      </w:r>
      <w:r w:rsidRPr="00884173">
        <w:rPr>
          <w:rFonts w:ascii="Arial" w:hAnsi="Arial" w:cs="Arial"/>
          <w:color w:val="010000"/>
          <w:sz w:val="20"/>
        </w:rPr>
        <w:t>7259/UBCK-PTTT dated November 8, 2021, of the State Securities Commission on the maximum foreign ownership rate of Minh Phu Seafood Corp.);</w:t>
      </w:r>
    </w:p>
    <w:p w14:paraId="0000001C" w14:textId="06CC28BB" w:rsidR="00AA768F" w:rsidRPr="00884173" w:rsidRDefault="00884173" w:rsidP="00884173">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t>The Company does not issue shares to foreign investors in this issuance and fully ensures that the issuance meets the foreign ownership rate at the Company in compliance with the provisions of law and the Notice on the Foreign Ownership Rate of the Company reported to the State Securities Commission.</w:t>
      </w:r>
    </w:p>
    <w:p w14:paraId="0000001D" w14:textId="588C5B3F"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Article 5. The Board of Directors assigned the Company's General Manager to implement the plan to issue shares under the Employee Stock Ownership Plan, specifically:</w:t>
      </w:r>
    </w:p>
    <w:p w14:paraId="0000001E" w14:textId="3EBE65CA" w:rsidR="00AA768F" w:rsidRPr="00884173" w:rsidRDefault="00884173" w:rsidP="00644AB6">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t>Implement procedures to submit the dossier for share issuance under the Employee Stock Ownership Plan to the State Securities Commission and provide explanations of relevant issues (if requested);</w:t>
      </w:r>
    </w:p>
    <w:p w14:paraId="0000001F" w14:textId="2953CEA6" w:rsidR="00AA768F" w:rsidRPr="00884173" w:rsidRDefault="00884173" w:rsidP="00644AB6">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t>Prepare and submit to the Board of Directors for approval documents related to the registration of additional securities at the Vietnam Securities Depository and Clearing Corporation and registration of additional securities trading at Hanoi Stock Exchange after receiving notification from the State Securities Commission on the full receipt of the Issuance Results Report;</w:t>
      </w:r>
    </w:p>
    <w:p w14:paraId="00000020" w14:textId="77777777" w:rsidR="00AA768F" w:rsidRPr="00884173" w:rsidRDefault="00884173" w:rsidP="00644AB6">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t>Carry out information disclosure procedures in accordance with the provisions of law;</w:t>
      </w:r>
    </w:p>
    <w:p w14:paraId="00000021" w14:textId="77777777" w:rsidR="00AA768F" w:rsidRPr="00884173" w:rsidRDefault="00884173" w:rsidP="00644AB6">
      <w:pPr>
        <w:numPr>
          <w:ilvl w:val="0"/>
          <w:numId w:val="2"/>
        </w:numPr>
        <w:pBdr>
          <w:top w:val="nil"/>
          <w:left w:val="nil"/>
          <w:bottom w:val="nil"/>
          <w:right w:val="nil"/>
          <w:between w:val="nil"/>
        </w:pBdr>
        <w:tabs>
          <w:tab w:val="left" w:pos="432"/>
          <w:tab w:val="left" w:pos="834"/>
        </w:tabs>
        <w:spacing w:after="120" w:line="360" w:lineRule="auto"/>
        <w:rPr>
          <w:rFonts w:ascii="Arial" w:eastAsia="Arial" w:hAnsi="Arial" w:cs="Arial"/>
          <w:color w:val="010000"/>
          <w:sz w:val="20"/>
          <w:szCs w:val="20"/>
        </w:rPr>
      </w:pPr>
      <w:r w:rsidRPr="00884173">
        <w:rPr>
          <w:rFonts w:ascii="Arial" w:hAnsi="Arial" w:cs="Arial"/>
          <w:color w:val="010000"/>
          <w:sz w:val="20"/>
        </w:rPr>
        <w:lastRenderedPageBreak/>
        <w:t>Cooperate with FPT Securities Joint Stock Company - the Consulting Company to carry out relevant tasks in accordance with the regulations of the Company and the law.</w:t>
      </w:r>
    </w:p>
    <w:p w14:paraId="00000022" w14:textId="6EA2F684" w:rsidR="00AA768F" w:rsidRPr="00884173" w:rsidRDefault="00884173" w:rsidP="00644AB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84173">
        <w:rPr>
          <w:rFonts w:ascii="Arial" w:hAnsi="Arial" w:cs="Arial"/>
          <w:color w:val="010000"/>
          <w:sz w:val="20"/>
        </w:rPr>
        <w:t>‎‎Article 6. Members of the Board of Directors supervised and inspected the implementation; The General Manager of the Company is responsible for directing relevant departments and individuals based on this Resolution to implement.</w:t>
      </w:r>
    </w:p>
    <w:sectPr w:rsidR="00AA768F" w:rsidRPr="00884173" w:rsidSect="00644AB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F1FF8"/>
    <w:multiLevelType w:val="multilevel"/>
    <w:tmpl w:val="2F4C013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4F36154"/>
    <w:multiLevelType w:val="multilevel"/>
    <w:tmpl w:val="474819F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8F"/>
    <w:rsid w:val="00644AB6"/>
    <w:rsid w:val="00884173"/>
    <w:rsid w:val="00A25CE3"/>
    <w:rsid w:val="00AA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BBF2"/>
  <w15:docId w15:val="{8FEFB737-9202-4E04-81D3-BA0E922F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396" w:lineRule="auto"/>
    </w:pPr>
    <w:rPr>
      <w:rFonts w:ascii="Times New Roman" w:eastAsia="Times New Roman" w:hAnsi="Times New Roman" w:cs="Times New Roman"/>
      <w:sz w:val="22"/>
      <w:szCs w:val="22"/>
    </w:rPr>
  </w:style>
  <w:style w:type="paragraph" w:customStyle="1" w:styleId="Tiu10">
    <w:name w:val="Tiêu đề #1"/>
    <w:basedOn w:val="Normal"/>
    <w:link w:val="Tiu1"/>
    <w:pPr>
      <w:spacing w:line="341" w:lineRule="auto"/>
      <w:jc w:val="center"/>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26"/>
      <w:szCs w:val="26"/>
    </w:rPr>
  </w:style>
  <w:style w:type="paragraph" w:customStyle="1" w:styleId="Mclc0">
    <w:name w:val="Mục lục"/>
    <w:basedOn w:val="Normal"/>
    <w:link w:val="Mclc"/>
    <w:pPr>
      <w:ind w:firstLine="2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Tdf4Njxhjcy7aKXyHNZKHkuXQ==">CgMxLjA4AHIhMU0wU1MtcFdjZGMxR0tqMkxMdVhJN2o5X1ZERjFVNHlS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2024-07-30T02:55:00Z</dcterms:created>
  <dcterms:modified xsi:type="dcterms:W3CDTF">2024-07-30T02:55:00Z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a1d7b2a1a9d98c921c6f218573fcd78ffd5664a17084f00013cd01fd3622a3f4</vt:lpwstr>
  </property>
</Properties>
</file>