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14A8E" w:rsidRPr="00F378C2" w:rsidRDefault="00F378C2" w:rsidP="00F378C2">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F378C2">
        <w:rPr>
          <w:rFonts w:ascii="Arial" w:hAnsi="Arial" w:cs="Arial"/>
          <w:b/>
          <w:color w:val="010000"/>
          <w:sz w:val="20"/>
        </w:rPr>
        <w:t>MTG: Board Resolution</w:t>
      </w:r>
    </w:p>
    <w:p w14:paraId="00000002" w14:textId="142C0438" w:rsidR="00A14A8E" w:rsidRPr="00F378C2" w:rsidRDefault="00F378C2" w:rsidP="00F378C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378C2">
        <w:rPr>
          <w:rFonts w:ascii="Arial" w:hAnsi="Arial" w:cs="Arial"/>
          <w:color w:val="010000"/>
          <w:sz w:val="20"/>
        </w:rPr>
        <w:t>On July 26, 2024, MT Gas Joint Stock Company announced Resolution No. 11/NQ-HDQT on approving the capital loan at the Joint Stock Commercial Bank for Foreign Trade of Vietnam - Nam Sai Gon Branch as follows:</w:t>
      </w:r>
    </w:p>
    <w:p w14:paraId="00000003" w14:textId="77777777" w:rsidR="00A14A8E" w:rsidRPr="00F378C2" w:rsidRDefault="00F378C2" w:rsidP="00F378C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378C2">
        <w:rPr>
          <w:rFonts w:ascii="Arial" w:hAnsi="Arial" w:cs="Arial"/>
          <w:color w:val="010000"/>
          <w:sz w:val="20"/>
        </w:rPr>
        <w:t>‎‎Article 1.</w:t>
      </w:r>
    </w:p>
    <w:p w14:paraId="00000004" w14:textId="77777777" w:rsidR="00A14A8E" w:rsidRPr="00F378C2" w:rsidRDefault="00F378C2" w:rsidP="00F378C2">
      <w:pPr>
        <w:numPr>
          <w:ilvl w:val="0"/>
          <w:numId w:val="6"/>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F378C2">
        <w:rPr>
          <w:rFonts w:ascii="Arial" w:hAnsi="Arial" w:cs="Arial"/>
          <w:color w:val="010000"/>
          <w:sz w:val="20"/>
        </w:rPr>
        <w:t>Approve the matter of capital loans and issuance of guarantees at the Joint Stock Commercial Bank for Foreign Trade of Vietnam (hereinafter referred to as “the Bank”) with the following contents:</w:t>
      </w:r>
    </w:p>
    <w:p w14:paraId="00000005" w14:textId="77777777" w:rsidR="00A14A8E" w:rsidRPr="00F378C2" w:rsidRDefault="00F378C2" w:rsidP="00F378C2">
      <w:pPr>
        <w:numPr>
          <w:ilvl w:val="0"/>
          <w:numId w:val="4"/>
        </w:numPr>
        <w:pBdr>
          <w:top w:val="nil"/>
          <w:left w:val="nil"/>
          <w:bottom w:val="nil"/>
          <w:right w:val="nil"/>
          <w:between w:val="nil"/>
        </w:pBdr>
        <w:tabs>
          <w:tab w:val="left" w:pos="432"/>
          <w:tab w:val="left" w:pos="1098"/>
        </w:tabs>
        <w:spacing w:after="120" w:line="360" w:lineRule="auto"/>
        <w:rPr>
          <w:rFonts w:ascii="Arial" w:eastAsia="Arial" w:hAnsi="Arial" w:cs="Arial"/>
          <w:color w:val="010000"/>
          <w:sz w:val="20"/>
          <w:szCs w:val="20"/>
        </w:rPr>
      </w:pPr>
      <w:r w:rsidRPr="00F378C2">
        <w:rPr>
          <w:rFonts w:ascii="Arial" w:hAnsi="Arial" w:cs="Arial"/>
          <w:color w:val="010000"/>
          <w:sz w:val="20"/>
        </w:rPr>
        <w:t>Total loan amount converted to VND: VND30,000,000,000, in which:</w:t>
      </w:r>
    </w:p>
    <w:p w14:paraId="00000006" w14:textId="77777777" w:rsidR="00A14A8E" w:rsidRPr="00F378C2" w:rsidRDefault="00F378C2" w:rsidP="00F378C2">
      <w:pPr>
        <w:numPr>
          <w:ilvl w:val="0"/>
          <w:numId w:val="5"/>
        </w:numPr>
        <w:pBdr>
          <w:top w:val="nil"/>
          <w:left w:val="nil"/>
          <w:bottom w:val="nil"/>
          <w:right w:val="nil"/>
          <w:between w:val="nil"/>
        </w:pBdr>
        <w:tabs>
          <w:tab w:val="left" w:pos="432"/>
          <w:tab w:val="left" w:pos="962"/>
        </w:tabs>
        <w:spacing w:after="120" w:line="360" w:lineRule="auto"/>
        <w:rPr>
          <w:rFonts w:ascii="Arial" w:eastAsia="Arial" w:hAnsi="Arial" w:cs="Arial"/>
          <w:color w:val="010000"/>
          <w:sz w:val="20"/>
          <w:szCs w:val="20"/>
        </w:rPr>
      </w:pPr>
      <w:r w:rsidRPr="00F378C2">
        <w:rPr>
          <w:rFonts w:ascii="Arial" w:hAnsi="Arial" w:cs="Arial"/>
          <w:color w:val="010000"/>
          <w:sz w:val="20"/>
        </w:rPr>
        <w:t>Short-term limit: VND12,000,000,000</w:t>
      </w:r>
    </w:p>
    <w:p w14:paraId="00000007" w14:textId="77777777" w:rsidR="00A14A8E" w:rsidRPr="00F378C2" w:rsidRDefault="00F378C2" w:rsidP="00F378C2">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F378C2">
        <w:rPr>
          <w:rFonts w:ascii="Arial" w:hAnsi="Arial" w:cs="Arial"/>
          <w:color w:val="010000"/>
          <w:sz w:val="20"/>
        </w:rPr>
        <w:t>Short-term loan limit: VND12,000,000,000.</w:t>
      </w:r>
    </w:p>
    <w:p w14:paraId="00000008" w14:textId="77777777" w:rsidR="00A14A8E" w:rsidRPr="00F378C2" w:rsidRDefault="00F378C2" w:rsidP="00F378C2">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F378C2">
        <w:rPr>
          <w:rFonts w:ascii="Arial" w:hAnsi="Arial" w:cs="Arial"/>
          <w:color w:val="010000"/>
          <w:sz w:val="20"/>
        </w:rPr>
        <w:t>Short-term guarantee limit: VND12,000,000,000.</w:t>
      </w:r>
    </w:p>
    <w:p w14:paraId="00000009" w14:textId="77777777" w:rsidR="00A14A8E" w:rsidRPr="00F378C2" w:rsidRDefault="00F378C2" w:rsidP="00F378C2">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F378C2">
        <w:rPr>
          <w:rFonts w:ascii="Arial" w:hAnsi="Arial" w:cs="Arial"/>
          <w:color w:val="010000"/>
          <w:sz w:val="20"/>
        </w:rPr>
        <w:t>Short-term L/C limit: VND12,000,000,000</w:t>
      </w:r>
    </w:p>
    <w:p w14:paraId="0000000A" w14:textId="77777777" w:rsidR="00A14A8E" w:rsidRPr="00F378C2" w:rsidRDefault="00F378C2" w:rsidP="00F378C2">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F378C2">
        <w:rPr>
          <w:rFonts w:ascii="Arial" w:hAnsi="Arial" w:cs="Arial"/>
          <w:color w:val="010000"/>
          <w:sz w:val="20"/>
        </w:rPr>
        <w:t>Line of credit VND1,000,000,000</w:t>
      </w:r>
    </w:p>
    <w:p w14:paraId="0000000B" w14:textId="77777777" w:rsidR="00A14A8E" w:rsidRPr="00F378C2" w:rsidRDefault="00F378C2" w:rsidP="00F378C2">
      <w:pPr>
        <w:numPr>
          <w:ilvl w:val="0"/>
          <w:numId w:val="5"/>
        </w:numPr>
        <w:pBdr>
          <w:top w:val="nil"/>
          <w:left w:val="nil"/>
          <w:bottom w:val="nil"/>
          <w:right w:val="nil"/>
          <w:between w:val="nil"/>
        </w:pBdr>
        <w:tabs>
          <w:tab w:val="left" w:pos="432"/>
          <w:tab w:val="left" w:pos="962"/>
        </w:tabs>
        <w:spacing w:after="120" w:line="360" w:lineRule="auto"/>
        <w:rPr>
          <w:rFonts w:ascii="Arial" w:eastAsia="Arial" w:hAnsi="Arial" w:cs="Arial"/>
          <w:color w:val="010000"/>
          <w:sz w:val="20"/>
          <w:szCs w:val="20"/>
        </w:rPr>
      </w:pPr>
      <w:r w:rsidRPr="00F378C2">
        <w:rPr>
          <w:rFonts w:ascii="Arial" w:hAnsi="Arial" w:cs="Arial"/>
          <w:color w:val="010000"/>
          <w:sz w:val="20"/>
        </w:rPr>
        <w:t>Medium and long-term limits: VND18,000,000,000</w:t>
      </w:r>
    </w:p>
    <w:p w14:paraId="0000000C" w14:textId="77777777" w:rsidR="00A14A8E" w:rsidRPr="00F378C2" w:rsidRDefault="00F378C2" w:rsidP="00F378C2">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F378C2">
        <w:rPr>
          <w:rFonts w:ascii="Arial" w:hAnsi="Arial" w:cs="Arial"/>
          <w:color w:val="010000"/>
          <w:sz w:val="20"/>
        </w:rPr>
        <w:t>Medium and long-term loan limit: VND18,000,000,000</w:t>
      </w:r>
    </w:p>
    <w:p w14:paraId="0000000D" w14:textId="77777777" w:rsidR="00A14A8E" w:rsidRPr="00F378C2" w:rsidRDefault="00F378C2" w:rsidP="00F378C2">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F378C2">
        <w:rPr>
          <w:rFonts w:ascii="Arial" w:hAnsi="Arial" w:cs="Arial"/>
          <w:color w:val="010000"/>
          <w:sz w:val="20"/>
        </w:rPr>
        <w:t>Medium and long-term guarantee limit: VND18,000,000,000</w:t>
      </w:r>
    </w:p>
    <w:p w14:paraId="0000000E" w14:textId="77777777" w:rsidR="00A14A8E" w:rsidRPr="00F378C2" w:rsidRDefault="00F378C2" w:rsidP="00F378C2">
      <w:pPr>
        <w:numPr>
          <w:ilvl w:val="0"/>
          <w:numId w:val="4"/>
        </w:numPr>
        <w:pBdr>
          <w:top w:val="nil"/>
          <w:left w:val="nil"/>
          <w:bottom w:val="nil"/>
          <w:right w:val="nil"/>
          <w:between w:val="nil"/>
        </w:pBdr>
        <w:tabs>
          <w:tab w:val="left" w:pos="432"/>
          <w:tab w:val="left" w:pos="1122"/>
        </w:tabs>
        <w:spacing w:after="120" w:line="360" w:lineRule="auto"/>
        <w:rPr>
          <w:rFonts w:ascii="Arial" w:eastAsia="Arial" w:hAnsi="Arial" w:cs="Arial"/>
          <w:color w:val="010000"/>
          <w:sz w:val="20"/>
          <w:szCs w:val="20"/>
        </w:rPr>
      </w:pPr>
      <w:r w:rsidRPr="00F378C2">
        <w:rPr>
          <w:rFonts w:ascii="Arial" w:hAnsi="Arial" w:cs="Arial"/>
          <w:color w:val="010000"/>
          <w:sz w:val="20"/>
        </w:rPr>
        <w:t>Loan purpose:</w:t>
      </w:r>
    </w:p>
    <w:p w14:paraId="0000000F" w14:textId="77777777" w:rsidR="00A14A8E" w:rsidRPr="00F378C2" w:rsidRDefault="00F378C2" w:rsidP="00F378C2">
      <w:pPr>
        <w:numPr>
          <w:ilvl w:val="0"/>
          <w:numId w:val="5"/>
        </w:numPr>
        <w:pBdr>
          <w:top w:val="nil"/>
          <w:left w:val="nil"/>
          <w:bottom w:val="nil"/>
          <w:right w:val="nil"/>
          <w:between w:val="nil"/>
        </w:pBdr>
        <w:tabs>
          <w:tab w:val="left" w:pos="432"/>
          <w:tab w:val="left" w:pos="978"/>
        </w:tabs>
        <w:spacing w:after="120" w:line="360" w:lineRule="auto"/>
        <w:rPr>
          <w:rFonts w:ascii="Arial" w:eastAsia="Arial" w:hAnsi="Arial" w:cs="Arial"/>
          <w:color w:val="010000"/>
          <w:sz w:val="20"/>
          <w:szCs w:val="20"/>
        </w:rPr>
      </w:pPr>
      <w:r w:rsidRPr="00F378C2">
        <w:rPr>
          <w:rFonts w:ascii="Arial" w:hAnsi="Arial" w:cs="Arial"/>
          <w:color w:val="010000"/>
          <w:sz w:val="20"/>
        </w:rPr>
        <w:t>Short-term limit: Fund legal, reasonable, and valid short-term credit needs for business operations</w:t>
      </w:r>
    </w:p>
    <w:p w14:paraId="00000010" w14:textId="1F7908CD" w:rsidR="00A14A8E" w:rsidRPr="00F378C2" w:rsidRDefault="00F378C2" w:rsidP="00F378C2">
      <w:pPr>
        <w:numPr>
          <w:ilvl w:val="0"/>
          <w:numId w:val="5"/>
        </w:numPr>
        <w:pBdr>
          <w:top w:val="nil"/>
          <w:left w:val="nil"/>
          <w:bottom w:val="nil"/>
          <w:right w:val="nil"/>
          <w:between w:val="nil"/>
        </w:pBdr>
        <w:tabs>
          <w:tab w:val="left" w:pos="432"/>
          <w:tab w:val="left" w:pos="973"/>
        </w:tabs>
        <w:spacing w:after="120" w:line="360" w:lineRule="auto"/>
        <w:rPr>
          <w:rFonts w:ascii="Arial" w:eastAsia="Arial" w:hAnsi="Arial" w:cs="Arial"/>
          <w:color w:val="010000"/>
          <w:sz w:val="20"/>
          <w:szCs w:val="20"/>
        </w:rPr>
      </w:pPr>
      <w:r w:rsidRPr="00F378C2">
        <w:rPr>
          <w:rFonts w:ascii="Arial" w:hAnsi="Arial" w:cs="Arial"/>
          <w:color w:val="010000"/>
          <w:sz w:val="20"/>
        </w:rPr>
        <w:t>Medium and long-term limits: Pay investment costs for 10 liquefied petroleum gas (LPG) tanks and the accompanying foundation system to serve business activities according to the Liquefied Petroleum Gas Tank System Transfer Contract No. 31/HDMB/TT-MTG dated July 15, 2023 between MT Gas Joint Stock Company and Công ty TNHH Khí Đốt Tân Tiến (tentatively translated as Tan Tien Gas Company Limited; Fund legal, reasonable and valid medium and long-term credit needs to serve business activities</w:t>
      </w:r>
    </w:p>
    <w:p w14:paraId="00000011" w14:textId="77777777" w:rsidR="00A14A8E" w:rsidRPr="00F378C2" w:rsidRDefault="00F378C2" w:rsidP="00F378C2">
      <w:pPr>
        <w:numPr>
          <w:ilvl w:val="0"/>
          <w:numId w:val="4"/>
        </w:numPr>
        <w:pBdr>
          <w:top w:val="nil"/>
          <w:left w:val="nil"/>
          <w:bottom w:val="nil"/>
          <w:right w:val="nil"/>
          <w:between w:val="nil"/>
        </w:pBdr>
        <w:tabs>
          <w:tab w:val="left" w:pos="432"/>
          <w:tab w:val="left" w:pos="1122"/>
        </w:tabs>
        <w:spacing w:after="120" w:line="360" w:lineRule="auto"/>
        <w:rPr>
          <w:rFonts w:ascii="Arial" w:eastAsia="Arial" w:hAnsi="Arial" w:cs="Arial"/>
          <w:color w:val="010000"/>
          <w:sz w:val="20"/>
          <w:szCs w:val="20"/>
        </w:rPr>
      </w:pPr>
      <w:r w:rsidRPr="00F378C2">
        <w:rPr>
          <w:rFonts w:ascii="Arial" w:hAnsi="Arial" w:cs="Arial"/>
          <w:color w:val="010000"/>
          <w:sz w:val="20"/>
        </w:rPr>
        <w:t>Loan term:</w:t>
      </w:r>
    </w:p>
    <w:p w14:paraId="00000012" w14:textId="77777777" w:rsidR="00A14A8E" w:rsidRPr="00F378C2" w:rsidRDefault="00F378C2" w:rsidP="00F378C2">
      <w:pPr>
        <w:numPr>
          <w:ilvl w:val="0"/>
          <w:numId w:val="5"/>
        </w:numPr>
        <w:pBdr>
          <w:top w:val="nil"/>
          <w:left w:val="nil"/>
          <w:bottom w:val="nil"/>
          <w:right w:val="nil"/>
          <w:between w:val="nil"/>
        </w:pBdr>
        <w:tabs>
          <w:tab w:val="left" w:pos="432"/>
          <w:tab w:val="left" w:pos="982"/>
        </w:tabs>
        <w:spacing w:after="120" w:line="360" w:lineRule="auto"/>
        <w:rPr>
          <w:rFonts w:ascii="Arial" w:eastAsia="Arial" w:hAnsi="Arial" w:cs="Arial"/>
          <w:color w:val="010000"/>
          <w:sz w:val="20"/>
          <w:szCs w:val="20"/>
        </w:rPr>
      </w:pPr>
      <w:r w:rsidRPr="00F378C2">
        <w:rPr>
          <w:rFonts w:ascii="Arial" w:hAnsi="Arial" w:cs="Arial"/>
          <w:color w:val="010000"/>
          <w:sz w:val="20"/>
        </w:rPr>
        <w:t>Short-term loan: 12 months (maximum 04 months/debt receipt)</w:t>
      </w:r>
    </w:p>
    <w:p w14:paraId="00000013" w14:textId="77777777" w:rsidR="00A14A8E" w:rsidRPr="00F378C2" w:rsidRDefault="00F378C2" w:rsidP="00F378C2">
      <w:pPr>
        <w:numPr>
          <w:ilvl w:val="0"/>
          <w:numId w:val="5"/>
        </w:numPr>
        <w:pBdr>
          <w:top w:val="nil"/>
          <w:left w:val="nil"/>
          <w:bottom w:val="nil"/>
          <w:right w:val="nil"/>
          <w:between w:val="nil"/>
        </w:pBdr>
        <w:tabs>
          <w:tab w:val="left" w:pos="432"/>
          <w:tab w:val="left" w:pos="982"/>
        </w:tabs>
        <w:spacing w:after="120" w:line="360" w:lineRule="auto"/>
        <w:rPr>
          <w:rFonts w:ascii="Arial" w:eastAsia="Arial" w:hAnsi="Arial" w:cs="Arial"/>
          <w:color w:val="010000"/>
          <w:sz w:val="20"/>
          <w:szCs w:val="20"/>
        </w:rPr>
      </w:pPr>
      <w:r w:rsidRPr="00F378C2">
        <w:rPr>
          <w:rFonts w:ascii="Arial" w:hAnsi="Arial" w:cs="Arial"/>
          <w:color w:val="010000"/>
          <w:sz w:val="20"/>
        </w:rPr>
        <w:t>Medium and long-term loans: Maximum 7 years</w:t>
      </w:r>
    </w:p>
    <w:p w14:paraId="00000014" w14:textId="77777777" w:rsidR="00A14A8E" w:rsidRPr="00F378C2" w:rsidRDefault="00F378C2" w:rsidP="00F378C2">
      <w:pPr>
        <w:numPr>
          <w:ilvl w:val="0"/>
          <w:numId w:val="5"/>
        </w:numPr>
        <w:pBdr>
          <w:top w:val="nil"/>
          <w:left w:val="nil"/>
          <w:bottom w:val="nil"/>
          <w:right w:val="nil"/>
          <w:between w:val="nil"/>
        </w:pBdr>
        <w:tabs>
          <w:tab w:val="left" w:pos="432"/>
          <w:tab w:val="left" w:pos="922"/>
        </w:tabs>
        <w:spacing w:after="120" w:line="360" w:lineRule="auto"/>
        <w:rPr>
          <w:rFonts w:ascii="Arial" w:eastAsia="Arial" w:hAnsi="Arial" w:cs="Arial"/>
          <w:color w:val="010000"/>
          <w:sz w:val="20"/>
          <w:szCs w:val="20"/>
        </w:rPr>
      </w:pPr>
      <w:r w:rsidRPr="00F378C2">
        <w:rPr>
          <w:rFonts w:ascii="Arial" w:hAnsi="Arial" w:cs="Arial"/>
          <w:color w:val="010000"/>
          <w:sz w:val="20"/>
        </w:rPr>
        <w:t>L/C issuance, Short-term guarantee time: Up to 12 months</w:t>
      </w:r>
    </w:p>
    <w:p w14:paraId="00000015" w14:textId="77777777" w:rsidR="00A14A8E" w:rsidRPr="00F378C2" w:rsidRDefault="00F378C2" w:rsidP="00F378C2">
      <w:pPr>
        <w:numPr>
          <w:ilvl w:val="0"/>
          <w:numId w:val="5"/>
        </w:numPr>
        <w:pBdr>
          <w:top w:val="nil"/>
          <w:left w:val="nil"/>
          <w:bottom w:val="nil"/>
          <w:right w:val="nil"/>
          <w:between w:val="nil"/>
        </w:pBdr>
        <w:tabs>
          <w:tab w:val="left" w:pos="432"/>
          <w:tab w:val="left" w:pos="922"/>
        </w:tabs>
        <w:spacing w:after="120" w:line="360" w:lineRule="auto"/>
        <w:rPr>
          <w:rFonts w:ascii="Arial" w:eastAsia="Arial" w:hAnsi="Arial" w:cs="Arial"/>
          <w:color w:val="010000"/>
          <w:sz w:val="20"/>
          <w:szCs w:val="20"/>
        </w:rPr>
      </w:pPr>
      <w:r w:rsidRPr="00F378C2">
        <w:rPr>
          <w:rFonts w:ascii="Arial" w:hAnsi="Arial" w:cs="Arial"/>
          <w:color w:val="010000"/>
          <w:sz w:val="20"/>
        </w:rPr>
        <w:t>Medium and long-term guarantee issuance time: Up to 36 months</w:t>
      </w:r>
    </w:p>
    <w:p w14:paraId="00000016" w14:textId="77777777" w:rsidR="00A14A8E" w:rsidRPr="00F378C2" w:rsidRDefault="00F378C2" w:rsidP="00F378C2">
      <w:pPr>
        <w:numPr>
          <w:ilvl w:val="0"/>
          <w:numId w:val="3"/>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F378C2">
        <w:rPr>
          <w:rFonts w:ascii="Arial" w:hAnsi="Arial" w:cs="Arial"/>
          <w:color w:val="010000"/>
          <w:sz w:val="20"/>
        </w:rPr>
        <w:t>Security Interests:</w:t>
      </w:r>
    </w:p>
    <w:p w14:paraId="00000017" w14:textId="65C8C837" w:rsidR="00A14A8E" w:rsidRPr="00F378C2" w:rsidRDefault="00F378C2" w:rsidP="00F378C2">
      <w:pPr>
        <w:numPr>
          <w:ilvl w:val="0"/>
          <w:numId w:val="5"/>
        </w:numPr>
        <w:pBdr>
          <w:top w:val="nil"/>
          <w:left w:val="nil"/>
          <w:bottom w:val="nil"/>
          <w:right w:val="nil"/>
          <w:between w:val="nil"/>
        </w:pBdr>
        <w:tabs>
          <w:tab w:val="left" w:pos="432"/>
          <w:tab w:val="left" w:pos="713"/>
        </w:tabs>
        <w:spacing w:after="120" w:line="360" w:lineRule="auto"/>
        <w:rPr>
          <w:rFonts w:ascii="Arial" w:eastAsia="Arial" w:hAnsi="Arial" w:cs="Arial"/>
          <w:color w:val="010000"/>
          <w:sz w:val="20"/>
          <w:szCs w:val="20"/>
        </w:rPr>
      </w:pPr>
      <w:r w:rsidRPr="00F378C2">
        <w:rPr>
          <w:rFonts w:ascii="Arial" w:hAnsi="Arial" w:cs="Arial"/>
          <w:color w:val="010000"/>
          <w:sz w:val="20"/>
        </w:rPr>
        <w:t>Company/third-party deposits, meeting the conditions on assets accepted as collateral according to VCB's regulations and the law, based on meeting the minimum guarantee rate of 10% for short-</w:t>
      </w:r>
      <w:r w:rsidRPr="00F378C2">
        <w:rPr>
          <w:rFonts w:ascii="Arial" w:hAnsi="Arial" w:cs="Arial"/>
          <w:color w:val="010000"/>
          <w:sz w:val="20"/>
        </w:rPr>
        <w:lastRenderedPageBreak/>
        <w:t>term loan limit.</w:t>
      </w:r>
    </w:p>
    <w:p w14:paraId="00000018" w14:textId="62B5DC24" w:rsidR="00A14A8E" w:rsidRPr="00F378C2" w:rsidRDefault="00F378C2" w:rsidP="00F378C2">
      <w:pPr>
        <w:numPr>
          <w:ilvl w:val="0"/>
          <w:numId w:val="5"/>
        </w:numPr>
        <w:pBdr>
          <w:top w:val="nil"/>
          <w:left w:val="nil"/>
          <w:bottom w:val="nil"/>
          <w:right w:val="nil"/>
          <w:between w:val="nil"/>
        </w:pBdr>
        <w:tabs>
          <w:tab w:val="left" w:pos="432"/>
          <w:tab w:val="left" w:pos="713"/>
        </w:tabs>
        <w:spacing w:after="120" w:line="360" w:lineRule="auto"/>
        <w:rPr>
          <w:rFonts w:ascii="Arial" w:eastAsia="Arial" w:hAnsi="Arial" w:cs="Arial"/>
          <w:color w:val="010000"/>
          <w:sz w:val="20"/>
          <w:szCs w:val="20"/>
        </w:rPr>
      </w:pPr>
      <w:r w:rsidRPr="00F378C2">
        <w:rPr>
          <w:rFonts w:ascii="Arial" w:hAnsi="Arial" w:cs="Arial"/>
          <w:color w:val="010000"/>
          <w:sz w:val="20"/>
        </w:rPr>
        <w:t>Machinery and equipment (10 LPG tanks) according to the Liquefied Petroleum Gas Tank System Transfer Contract No. 31/HDMB/TT-MTG dated July 15, 2023, between MT Gas Joint Stock Company and Tan Tien Gas Company Limited.</w:t>
      </w:r>
    </w:p>
    <w:p w14:paraId="00000019" w14:textId="77777777" w:rsidR="00A14A8E" w:rsidRPr="00F378C2" w:rsidRDefault="00F378C2" w:rsidP="00F378C2">
      <w:pPr>
        <w:numPr>
          <w:ilvl w:val="0"/>
          <w:numId w:val="5"/>
        </w:numPr>
        <w:pBdr>
          <w:top w:val="nil"/>
          <w:left w:val="nil"/>
          <w:bottom w:val="nil"/>
          <w:right w:val="nil"/>
          <w:between w:val="nil"/>
        </w:pBdr>
        <w:tabs>
          <w:tab w:val="left" w:pos="432"/>
          <w:tab w:val="left" w:pos="713"/>
        </w:tabs>
        <w:spacing w:after="120" w:line="360" w:lineRule="auto"/>
        <w:rPr>
          <w:rFonts w:ascii="Arial" w:eastAsia="Arial" w:hAnsi="Arial" w:cs="Arial"/>
          <w:color w:val="010000"/>
          <w:sz w:val="20"/>
          <w:szCs w:val="20"/>
        </w:rPr>
      </w:pPr>
      <w:r w:rsidRPr="00F378C2">
        <w:rPr>
          <w:rFonts w:ascii="Arial" w:hAnsi="Arial" w:cs="Arial"/>
          <w:color w:val="010000"/>
          <w:sz w:val="20"/>
        </w:rPr>
        <w:t>Circulating inventory and/or debt claims and/or property rights arising from commercial contracts, formed from VCB loan capital.</w:t>
      </w:r>
    </w:p>
    <w:p w14:paraId="0000001A" w14:textId="77777777" w:rsidR="00A14A8E" w:rsidRPr="00F378C2" w:rsidRDefault="00F378C2" w:rsidP="00F378C2">
      <w:pPr>
        <w:numPr>
          <w:ilvl w:val="0"/>
          <w:numId w:val="5"/>
        </w:numPr>
        <w:pBdr>
          <w:top w:val="nil"/>
          <w:left w:val="nil"/>
          <w:bottom w:val="nil"/>
          <w:right w:val="nil"/>
          <w:between w:val="nil"/>
        </w:pBdr>
        <w:tabs>
          <w:tab w:val="left" w:pos="432"/>
          <w:tab w:val="left" w:pos="713"/>
        </w:tabs>
        <w:spacing w:after="120" w:line="360" w:lineRule="auto"/>
        <w:rPr>
          <w:rFonts w:ascii="Arial" w:eastAsia="Arial" w:hAnsi="Arial" w:cs="Arial"/>
          <w:color w:val="010000"/>
          <w:sz w:val="20"/>
          <w:szCs w:val="20"/>
        </w:rPr>
      </w:pPr>
      <w:r w:rsidRPr="00F378C2">
        <w:rPr>
          <w:rFonts w:ascii="Arial" w:hAnsi="Arial" w:cs="Arial"/>
          <w:color w:val="010000"/>
          <w:sz w:val="20"/>
        </w:rPr>
        <w:t>And/or other security measures that fully meet the conditions for assets accepted as security assets according to VCB's regulations and the Law (if any).</w:t>
      </w:r>
    </w:p>
    <w:p w14:paraId="0000001B" w14:textId="77777777" w:rsidR="00A14A8E" w:rsidRPr="00F378C2" w:rsidRDefault="00F378C2" w:rsidP="00F378C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378C2">
        <w:rPr>
          <w:rFonts w:ascii="Arial" w:hAnsi="Arial" w:cs="Arial"/>
          <w:color w:val="010000"/>
          <w:sz w:val="20"/>
        </w:rPr>
        <w:t xml:space="preserve">‎‎Article 2. Assign Mr. Nguyen Anh Tu - Position: The General Manager - the legal representative of MT Gas Joint Stock Company to organize the implementation of the contents approved by the Board of Directors as mentioned above and carry out procedures to sign agreements, contracts and related documents with the Bank in accordance with the provisions of law. </w:t>
      </w:r>
    </w:p>
    <w:p w14:paraId="0000001C" w14:textId="77777777" w:rsidR="00A14A8E" w:rsidRPr="00F378C2" w:rsidRDefault="00F378C2" w:rsidP="00F378C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378C2">
        <w:rPr>
          <w:rFonts w:ascii="Arial" w:hAnsi="Arial" w:cs="Arial"/>
          <w:color w:val="010000"/>
          <w:sz w:val="20"/>
        </w:rPr>
        <w:t>Article 3. This Resolution takes effect from the date of its signing</w:t>
      </w:r>
    </w:p>
    <w:sectPr w:rsidR="00A14A8E" w:rsidRPr="00F378C2" w:rsidSect="00F378C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8AD"/>
    <w:multiLevelType w:val="multilevel"/>
    <w:tmpl w:val="868C1DD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F77E2C"/>
    <w:multiLevelType w:val="multilevel"/>
    <w:tmpl w:val="4792414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05D69A8"/>
    <w:multiLevelType w:val="multilevel"/>
    <w:tmpl w:val="B400DB48"/>
    <w:lvl w:ilvl="0">
      <w:start w:val="1"/>
      <w:numFmt w:val="bullet"/>
      <w:lvlText w:val="+"/>
      <w:lvlJc w:val="left"/>
      <w:pPr>
        <w:ind w:left="720" w:hanging="360"/>
      </w:pPr>
      <w:rPr>
        <w:rFonts w:ascii="Arial" w:eastAsia="Noto Sans Symbols" w:hAnsi="Arial" w:cs="Arial"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25C0498"/>
    <w:multiLevelType w:val="multilevel"/>
    <w:tmpl w:val="98B84D92"/>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E530AAA"/>
    <w:multiLevelType w:val="multilevel"/>
    <w:tmpl w:val="B5D2C78E"/>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2F8097A"/>
    <w:multiLevelType w:val="multilevel"/>
    <w:tmpl w:val="EE02629A"/>
    <w:lvl w:ilvl="0">
      <w:start w:val="5"/>
      <w:numFmt w:val="lowerLetter"/>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8E"/>
    <w:rsid w:val="00A14A8E"/>
    <w:rsid w:val="00E62604"/>
    <w:rsid w:val="00F3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367BC"/>
  <w15:docId w15:val="{1CFE45D5-F323-4277-8916-BD07D741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0">
    <w:name w:val="Văn bản nội dung"/>
    <w:basedOn w:val="Normal"/>
    <w:link w:val="Vnbnnidung"/>
    <w:pPr>
      <w:spacing w:line="317" w:lineRule="auto"/>
      <w:ind w:firstLine="400"/>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ohwOwC63YHj9rsdL9NP2TUE+nQ==">CgMxLjA4AHIhMVlmakZzZndhMjAwN2ZJZ25xQUJZQ2xMamhfdldzcmdE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2024-07-30T02:56:00Z</dcterms:created>
  <dcterms:modified xsi:type="dcterms:W3CDTF">2024-07-30T02:56:00Z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037cd9db5a1055d000029c72dda22d0eb1ed2af7aad4e81d56e14a74fd299603</vt:lpwstr>
  </property>
</Properties>
</file>