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C070" w14:textId="77777777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BDG: Annual General Mandate 2024</w:t>
      </w:r>
    </w:p>
    <w:p w14:paraId="03A133A0" w14:textId="77777777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28, 2024, </w:t>
      </w:r>
      <w:proofErr w:type="spellStart"/>
      <w:r>
        <w:rPr>
          <w:rFonts w:ascii="Arial" w:hAnsi="Arial"/>
          <w:color w:val="010000"/>
          <w:sz w:val="20"/>
        </w:rPr>
        <w:t>Protrade</w:t>
      </w:r>
      <w:proofErr w:type="spellEnd"/>
      <w:r>
        <w:rPr>
          <w:rFonts w:ascii="Arial" w:hAnsi="Arial"/>
          <w:color w:val="010000"/>
          <w:sz w:val="20"/>
        </w:rPr>
        <w:t xml:space="preserve"> Garment Joint Stock Company announced General Mandate No. 01/NQ-DHDCD as follows:</w:t>
      </w:r>
    </w:p>
    <w:p w14:paraId="5A4637AD" w14:textId="77777777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following contents:</w:t>
      </w:r>
    </w:p>
    <w:p w14:paraId="52D2BB4F" w14:textId="77777777" w:rsidR="001654A2" w:rsidRDefault="00766D67" w:rsidP="00CE1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Approved the Report on summarizing the activities of the Board of Directors in 2023 and the operational plan 2024.</w:t>
      </w:r>
    </w:p>
    <w:p w14:paraId="79689D96" w14:textId="4FFF4BEF" w:rsidR="001654A2" w:rsidRDefault="00766D67" w:rsidP="00CE1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Report of the </w:t>
      </w:r>
      <w:r w:rsidR="00CE1680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 xml:space="preserve"> on production and business results in 2023 and the plan 2024.</w:t>
      </w:r>
    </w:p>
    <w:p w14:paraId="3D72862B" w14:textId="1A9F836F" w:rsidR="001654A2" w:rsidRDefault="00766D67" w:rsidP="00CE168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Production and business results in 2023 through a number of main targets compared to the plan assigned by the </w:t>
      </w:r>
      <w:r w:rsidR="00CE168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6D91F111" w14:textId="77777777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+ A number of main targets in the Consolidated Financial Statements: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3030"/>
        <w:gridCol w:w="1526"/>
        <w:gridCol w:w="1178"/>
        <w:gridCol w:w="1091"/>
        <w:gridCol w:w="1466"/>
      </w:tblGrid>
      <w:tr w:rsidR="001654A2" w14:paraId="5EC1EA21" w14:textId="77777777">
        <w:tc>
          <w:tcPr>
            <w:tcW w:w="72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A0407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3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934EB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5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FF3F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373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E0C7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1654A2" w14:paraId="7E7A8BF5" w14:textId="77777777">
        <w:tc>
          <w:tcPr>
            <w:tcW w:w="72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FE235" w14:textId="77777777" w:rsidR="001654A2" w:rsidRDefault="0016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3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5EC83" w14:textId="77777777" w:rsidR="001654A2" w:rsidRDefault="0016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F2E96" w14:textId="77777777" w:rsidR="001654A2" w:rsidRDefault="0016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B17E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0792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448D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Results/Plan (%)</w:t>
            </w:r>
          </w:p>
        </w:tc>
      </w:tr>
      <w:tr w:rsidR="001654A2" w14:paraId="27BF24D0" w14:textId="77777777">
        <w:tc>
          <w:tcPr>
            <w:tcW w:w="7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836E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E3FC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0F681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D847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1,657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F754B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1,560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36A3B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94%</w:t>
            </w:r>
          </w:p>
        </w:tc>
      </w:tr>
      <w:tr w:rsidR="001654A2" w14:paraId="5FA09DFD" w14:textId="77777777">
        <w:tc>
          <w:tcPr>
            <w:tcW w:w="7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40F0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2A7F0" w14:textId="4D57FBB1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  <w:r>
              <w:rPr>
                <w:rFonts w:ascii="Arial" w:hAnsi="Arial"/>
                <w:color w:val="010000"/>
                <w:sz w:val="20"/>
              </w:rPr>
              <w:tab/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174D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BF6A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139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163D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158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10C4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114%</w:t>
            </w:r>
          </w:p>
        </w:tc>
      </w:tr>
      <w:tr w:rsidR="001654A2" w14:paraId="338D56FB" w14:textId="77777777">
        <w:tc>
          <w:tcPr>
            <w:tcW w:w="7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9D47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8C61A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4AA5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8803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C5E7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06E1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123%</w:t>
            </w:r>
          </w:p>
        </w:tc>
      </w:tr>
      <w:tr w:rsidR="001654A2" w14:paraId="1AA8E3EF" w14:textId="77777777">
        <w:tc>
          <w:tcPr>
            <w:tcW w:w="7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EAC1B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D683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Deferred corporate income tax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4E39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C2CB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D256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1AD79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654A2" w14:paraId="6FD3089B" w14:textId="77777777">
        <w:tc>
          <w:tcPr>
            <w:tcW w:w="7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D0DA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1CAF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40C8B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20DC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113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790F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123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12F5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109%</w:t>
            </w:r>
          </w:p>
        </w:tc>
      </w:tr>
    </w:tbl>
    <w:p w14:paraId="0DFE0BE3" w14:textId="77777777" w:rsidR="001654A2" w:rsidRDefault="00766D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+ A number of main targets in the Separate Financial Statements:</w:t>
      </w:r>
    </w:p>
    <w:tbl>
      <w:tblPr>
        <w:tblStyle w:val="a0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3034"/>
        <w:gridCol w:w="1531"/>
        <w:gridCol w:w="1174"/>
        <w:gridCol w:w="1093"/>
        <w:gridCol w:w="1463"/>
      </w:tblGrid>
      <w:tr w:rsidR="001654A2" w14:paraId="490205E8" w14:textId="77777777">
        <w:tc>
          <w:tcPr>
            <w:tcW w:w="72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AB46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7519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53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30CD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3730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F6F6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1654A2" w14:paraId="7C41A1C3" w14:textId="77777777">
        <w:tc>
          <w:tcPr>
            <w:tcW w:w="72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96B4C" w14:textId="77777777" w:rsidR="001654A2" w:rsidRDefault="0016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3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63088" w14:textId="77777777" w:rsidR="001654A2" w:rsidRDefault="0016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096DE" w14:textId="77777777" w:rsidR="001654A2" w:rsidRDefault="0016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884BC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9021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1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194A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Results/Plan (%)</w:t>
            </w:r>
          </w:p>
        </w:tc>
      </w:tr>
      <w:tr w:rsidR="001654A2" w14:paraId="0FF5FAFF" w14:textId="77777777"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7ABC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5C78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4AF4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629A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1,657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A239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1,560</w:t>
            </w:r>
          </w:p>
        </w:tc>
        <w:tc>
          <w:tcPr>
            <w:tcW w:w="1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381C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94%</w:t>
            </w:r>
          </w:p>
        </w:tc>
      </w:tr>
      <w:tr w:rsidR="001654A2" w14:paraId="4A3B2E3C" w14:textId="77777777"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AC45B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BBEFC" w14:textId="366DB3D1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  <w:r>
              <w:rPr>
                <w:rFonts w:ascii="Arial" w:hAnsi="Arial"/>
                <w:color w:val="010000"/>
                <w:sz w:val="20"/>
              </w:rPr>
              <w:tab/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AA0E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C02E7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128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8464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152</w:t>
            </w:r>
          </w:p>
        </w:tc>
        <w:tc>
          <w:tcPr>
            <w:tcW w:w="1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D4DB7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119%</w:t>
            </w:r>
          </w:p>
        </w:tc>
      </w:tr>
      <w:tr w:rsidR="001654A2" w14:paraId="2A666A7C" w14:textId="77777777"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99BF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07F2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C19F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D2E8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E353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1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DB43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123%</w:t>
            </w:r>
          </w:p>
        </w:tc>
      </w:tr>
      <w:tr w:rsidR="001654A2" w14:paraId="2F43079E" w14:textId="77777777"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FD0B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7DD9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DD30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4E10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A63B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120</w:t>
            </w:r>
          </w:p>
        </w:tc>
        <w:tc>
          <w:tcPr>
            <w:tcW w:w="1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08C4C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118%</w:t>
            </w:r>
          </w:p>
        </w:tc>
      </w:tr>
    </w:tbl>
    <w:p w14:paraId="3988013B" w14:textId="77777777" w:rsidR="001654A2" w:rsidRDefault="00766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  <w:sectPr w:rsidR="001654A2">
          <w:pgSz w:w="11909" w:h="16834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color w:val="010000"/>
          <w:sz w:val="20"/>
        </w:rPr>
        <w:t>Business plan 2024:</w:t>
      </w:r>
    </w:p>
    <w:p w14:paraId="31A3FD31" w14:textId="77777777" w:rsidR="001654A2" w:rsidRDefault="001654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10000"/>
          <w:sz w:val="20"/>
          <w:szCs w:val="20"/>
        </w:rPr>
      </w:pP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594"/>
        <w:gridCol w:w="1246"/>
        <w:gridCol w:w="2141"/>
        <w:gridCol w:w="2323"/>
      </w:tblGrid>
      <w:tr w:rsidR="001654A2" w14:paraId="67A07A11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5029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120C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2C4D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52F9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2024 (Separate Report)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670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2024 (Consolidated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Report)</w:t>
            </w:r>
          </w:p>
        </w:tc>
      </w:tr>
      <w:tr w:rsidR="001654A2" w14:paraId="7D882EAF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7C80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2677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Charter capital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7809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DFF1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248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F2EE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248</w:t>
            </w:r>
          </w:p>
        </w:tc>
      </w:tr>
      <w:tr w:rsidR="001654A2" w14:paraId="47DD1979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3E1B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60F5B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Output. In which: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7D79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Item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7C62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4,505,427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8B1E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4,505,427</w:t>
            </w:r>
          </w:p>
        </w:tc>
      </w:tr>
      <w:tr w:rsidR="001654A2" w14:paraId="1DD6FE1B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6FFCB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FB12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Shirt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B73D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Item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8D18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1,611,112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C207C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1.611112</w:t>
            </w:r>
          </w:p>
        </w:tc>
      </w:tr>
      <w:tr w:rsidR="001654A2" w14:paraId="3FB5A9B0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F091B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D2C9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Fashion jean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4B09C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Item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8585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1,205,796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2E63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1,205,796</w:t>
            </w:r>
          </w:p>
        </w:tc>
      </w:tr>
      <w:tr w:rsidR="001654A2" w14:paraId="75316A2C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B8E25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8E6A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Basic jean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64E6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Item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A407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1,688,519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8535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1,688,519</w:t>
            </w:r>
          </w:p>
        </w:tc>
      </w:tr>
      <w:tr w:rsidR="001654A2" w14:paraId="2BABFA5D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2FDB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C265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73DFC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19B61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1,587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29FD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1,574</w:t>
            </w:r>
          </w:p>
        </w:tc>
      </w:tr>
      <w:tr w:rsidR="001654A2" w14:paraId="7AF820EF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09F24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634B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which: Revenue from goods sales and service provision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14E6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ADF21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1,565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EB08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1,565</w:t>
            </w:r>
          </w:p>
        </w:tc>
      </w:tr>
      <w:tr w:rsidR="001654A2" w14:paraId="323E833C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4598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A53E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1749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1F2F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1,476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28CB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1,458</w:t>
            </w:r>
          </w:p>
        </w:tc>
      </w:tr>
      <w:tr w:rsidR="001654A2" w14:paraId="37E814F3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D546A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C222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  <w:t>: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6FC1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315D1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8DAA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116</w:t>
            </w:r>
          </w:p>
        </w:tc>
      </w:tr>
      <w:tr w:rsidR="001654A2" w14:paraId="728A190D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88C9C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730C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863D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C206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</w:t>
            </w:r>
          </w:p>
        </w:tc>
        <w:tc>
          <w:tcPr>
            <w:tcW w:w="23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4DB3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</w:t>
            </w:r>
          </w:p>
        </w:tc>
      </w:tr>
    </w:tbl>
    <w:p w14:paraId="36F00CA5" w14:textId="77564898" w:rsidR="001654A2" w:rsidRDefault="00766D67" w:rsidP="00CE1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on activities of the Supervisory Board in 202</w:t>
      </w:r>
      <w:r w:rsidR="00CE1680">
        <w:rPr>
          <w:rFonts w:ascii="Arial" w:hAnsi="Arial"/>
          <w:color w:val="010000"/>
          <w:sz w:val="20"/>
        </w:rPr>
        <w:t>3 and the operational plan 2024</w:t>
      </w:r>
      <w:r>
        <w:rPr>
          <w:rFonts w:ascii="Arial" w:hAnsi="Arial"/>
          <w:color w:val="010000"/>
          <w:sz w:val="20"/>
        </w:rPr>
        <w:t>.</w:t>
      </w:r>
    </w:p>
    <w:p w14:paraId="3221F8C6" w14:textId="77777777" w:rsidR="001654A2" w:rsidRDefault="00766D67" w:rsidP="00CE1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Proposal on increasing charter capital, and amending and supplementing the contents of the Charter of </w:t>
      </w:r>
      <w:proofErr w:type="spellStart"/>
      <w:r>
        <w:rPr>
          <w:rFonts w:ascii="Arial" w:hAnsi="Arial"/>
          <w:color w:val="010000"/>
          <w:sz w:val="20"/>
        </w:rPr>
        <w:t>Protrade</w:t>
      </w:r>
      <w:proofErr w:type="spellEnd"/>
      <w:r>
        <w:rPr>
          <w:rFonts w:ascii="Arial" w:hAnsi="Arial"/>
          <w:color w:val="010000"/>
          <w:sz w:val="20"/>
        </w:rPr>
        <w:t xml:space="preserve"> Garment Joint Stock Company.</w:t>
      </w:r>
    </w:p>
    <w:p w14:paraId="5C518DCF" w14:textId="77777777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on increasing charter capital of </w:t>
      </w:r>
      <w:proofErr w:type="spellStart"/>
      <w:r>
        <w:rPr>
          <w:rFonts w:ascii="Arial" w:hAnsi="Arial"/>
          <w:color w:val="010000"/>
          <w:sz w:val="20"/>
        </w:rPr>
        <w:t>Protrade</w:t>
      </w:r>
      <w:proofErr w:type="spellEnd"/>
      <w:r>
        <w:rPr>
          <w:rFonts w:ascii="Arial" w:hAnsi="Arial"/>
          <w:color w:val="010000"/>
          <w:sz w:val="20"/>
        </w:rPr>
        <w:t xml:space="preserve"> Garment Joint Stock Company from VND120,000,000,000 to VND247,999,200,000 by issuing additional shares using capital from the investment and development fund and undistributed profit after tax; and amending the Charter as follows:</w:t>
      </w:r>
    </w:p>
    <w:p w14:paraId="3FBA1BC9" w14:textId="77777777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“Article 6. Charter capital, shares, founding shareholders</w:t>
      </w:r>
    </w:p>
    <w:p w14:paraId="61C8C2D6" w14:textId="77777777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1. The Charter capital of the Company is VND247,999,200,000.</w:t>
      </w:r>
    </w:p>
    <w:p w14:paraId="6DE77D42" w14:textId="70E979B2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Company's total charter capital is divided into 24,799,920 shares </w:t>
      </w:r>
      <w:r w:rsidR="00CE1680">
        <w:rPr>
          <w:rFonts w:ascii="Arial" w:hAnsi="Arial"/>
          <w:color w:val="010000"/>
          <w:sz w:val="20"/>
        </w:rPr>
        <w:t>at a</w:t>
      </w:r>
      <w:r>
        <w:rPr>
          <w:rFonts w:ascii="Arial" w:hAnsi="Arial"/>
          <w:color w:val="010000"/>
          <w:sz w:val="20"/>
        </w:rPr>
        <w:t xml:space="preserve"> par value of VND10,000/share.”  </w:t>
      </w:r>
    </w:p>
    <w:p w14:paraId="64BD2DEF" w14:textId="77777777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on amending and supplementing the contents of the Charter of </w:t>
      </w:r>
      <w:proofErr w:type="spellStart"/>
      <w:r>
        <w:rPr>
          <w:rFonts w:ascii="Arial" w:hAnsi="Arial"/>
          <w:color w:val="010000"/>
          <w:sz w:val="20"/>
        </w:rPr>
        <w:t>Protrade</w:t>
      </w:r>
      <w:proofErr w:type="spellEnd"/>
      <w:r>
        <w:rPr>
          <w:rFonts w:ascii="Arial" w:hAnsi="Arial"/>
          <w:color w:val="010000"/>
          <w:sz w:val="20"/>
        </w:rPr>
        <w:t xml:space="preserve"> Garment Joint Stock Company according to the attached Proposal and draft.</w:t>
      </w:r>
    </w:p>
    <w:p w14:paraId="48980576" w14:textId="77777777" w:rsidR="001654A2" w:rsidRDefault="00766D67" w:rsidP="00CE1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Audited Separate and Consolidated Financial Statements 2023.</w:t>
      </w:r>
    </w:p>
    <w:p w14:paraId="0B165F54" w14:textId="77777777" w:rsidR="001654A2" w:rsidRDefault="00766D67" w:rsidP="00CE1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profit distribution in 2023 and the profit distribution plan 2024.</w:t>
      </w:r>
    </w:p>
    <w:p w14:paraId="7453DCB9" w14:textId="77777777" w:rsidR="001654A2" w:rsidRDefault="00766D67" w:rsidP="00CE1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 in 2023:</w:t>
      </w:r>
    </w:p>
    <w:p w14:paraId="5047A2C9" w14:textId="77777777" w:rsidR="001654A2" w:rsidRDefault="00766D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3831"/>
        <w:gridCol w:w="2491"/>
        <w:gridCol w:w="1984"/>
      </w:tblGrid>
      <w:tr w:rsidR="001654A2" w14:paraId="7D8C0D7C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CE357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A7725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9878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distribution in 2023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22681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1654A2" w14:paraId="3DAC0F4F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E3A1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781DC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DB847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35B8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119,658,386,575</w:t>
            </w:r>
          </w:p>
        </w:tc>
      </w:tr>
      <w:tr w:rsidR="001654A2" w14:paraId="067C28A4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4108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A17A7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A45FF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C29CB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32,307,764,376</w:t>
            </w:r>
          </w:p>
        </w:tc>
      </w:tr>
      <w:tr w:rsidR="001654A2" w14:paraId="3B26BE4E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FD18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5F97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development fund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11B4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20% of profit after tax in 2023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F8D9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23,931,677,315</w:t>
            </w:r>
          </w:p>
        </w:tc>
      </w:tr>
      <w:tr w:rsidR="001654A2" w14:paraId="69D61A33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F8CE1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C65B5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6C60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6% of profit after tax in 2023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76B8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7,179,503,195</w:t>
            </w:r>
          </w:p>
        </w:tc>
      </w:tr>
      <w:tr w:rsidR="001654A2" w14:paraId="414A4DCE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7FAC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CA5D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fund for the Executive Board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32B7A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1% of profit after tax in 2023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7E9A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1,196,583,866</w:t>
            </w:r>
          </w:p>
        </w:tc>
      </w:tr>
      <w:tr w:rsidR="001654A2" w14:paraId="08EECB91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7B7E5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6A0CA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in cash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31BA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25% of charter capital (VND2,500/share)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7DCCF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61,999,800,000</w:t>
            </w:r>
          </w:p>
        </w:tc>
      </w:tr>
      <w:tr w:rsidR="001654A2" w14:paraId="052119C3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42F6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B3EF5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undistributed profit after tax in 2023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B3436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EFB7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25,350,822,199</w:t>
            </w:r>
          </w:p>
        </w:tc>
      </w:tr>
      <w:tr w:rsidR="001654A2" w14:paraId="087304CC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5FD0B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97978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accumulated to the end of the previous year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5CEB5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7AEA1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101,304,171,859</w:t>
            </w:r>
          </w:p>
        </w:tc>
      </w:tr>
      <w:tr w:rsidR="001654A2" w14:paraId="24826A00" w14:textId="77777777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BC35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1305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undistributed profit after tax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8C76F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7C5F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126,654,994,058</w:t>
            </w:r>
          </w:p>
        </w:tc>
      </w:tr>
    </w:tbl>
    <w:p w14:paraId="3A29509A" w14:textId="77777777" w:rsidR="001654A2" w:rsidRDefault="00766D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 plan 2024</w:t>
      </w:r>
    </w:p>
    <w:p w14:paraId="5E05EC2D" w14:textId="77777777" w:rsidR="001654A2" w:rsidRDefault="00766D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"/>
        <w:gridCol w:w="4270"/>
        <w:gridCol w:w="4030"/>
      </w:tblGrid>
      <w:tr w:rsidR="001654A2" w14:paraId="2C4EAB15" w14:textId="77777777">
        <w:tc>
          <w:tcPr>
            <w:tcW w:w="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25816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A0063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D98E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distribution plan 2024</w:t>
            </w:r>
          </w:p>
        </w:tc>
      </w:tr>
      <w:tr w:rsidR="001654A2" w14:paraId="528B0558" w14:textId="77777777">
        <w:tc>
          <w:tcPr>
            <w:tcW w:w="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61912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CBC9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B48F8" w14:textId="77777777" w:rsidR="001654A2" w:rsidRDefault="001654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654A2" w14:paraId="0A6F12DD" w14:textId="77777777">
        <w:tc>
          <w:tcPr>
            <w:tcW w:w="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8E419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378D5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development fund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F76D7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20% of profit after tax in 2024</w:t>
            </w:r>
          </w:p>
        </w:tc>
      </w:tr>
      <w:tr w:rsidR="001654A2" w14:paraId="02C4EB6D" w14:textId="77777777">
        <w:tc>
          <w:tcPr>
            <w:tcW w:w="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36C65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23CCD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363B5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6% of profit after tax in 2024</w:t>
            </w:r>
          </w:p>
        </w:tc>
      </w:tr>
      <w:tr w:rsidR="001654A2" w14:paraId="79024EA0" w14:textId="77777777">
        <w:tc>
          <w:tcPr>
            <w:tcW w:w="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871D0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321C4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fund for the Executive Board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32795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1% of profit after tax in 2024</w:t>
            </w:r>
          </w:p>
        </w:tc>
      </w:tr>
      <w:tr w:rsidR="001654A2" w14:paraId="2556A03F" w14:textId="77777777">
        <w:tc>
          <w:tcPr>
            <w:tcW w:w="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F459C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E6AAE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in cash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F7C77" w14:textId="77777777" w:rsidR="001654A2" w:rsidRDefault="007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 less than 10% of charter capital.</w:t>
            </w:r>
          </w:p>
        </w:tc>
      </w:tr>
    </w:tbl>
    <w:p w14:paraId="074E6183" w14:textId="570C5225" w:rsidR="001654A2" w:rsidRDefault="00766D67" w:rsidP="00CE1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Proposal on approving remuneration for the </w:t>
      </w:r>
      <w:r w:rsidR="00CE1680">
        <w:rPr>
          <w:rFonts w:ascii="Arial" w:hAnsi="Arial"/>
          <w:color w:val="010000"/>
          <w:sz w:val="20"/>
        </w:rPr>
        <w:t xml:space="preserve">Board of Directors, Supervisory Board and </w:t>
      </w:r>
      <w:r>
        <w:rPr>
          <w:rFonts w:ascii="Arial" w:hAnsi="Arial"/>
          <w:color w:val="010000"/>
          <w:sz w:val="20"/>
        </w:rPr>
        <w:t xml:space="preserve">Secretariat of the Company in 2023; and the remuneration plan for the Board of Directors, </w:t>
      </w:r>
      <w:r w:rsidR="00CE1680">
        <w:rPr>
          <w:rFonts w:ascii="Arial" w:hAnsi="Arial"/>
          <w:color w:val="010000"/>
          <w:sz w:val="20"/>
        </w:rPr>
        <w:t>Supervisory Board and</w:t>
      </w:r>
      <w:r>
        <w:rPr>
          <w:rFonts w:ascii="Arial" w:hAnsi="Arial"/>
          <w:color w:val="010000"/>
          <w:sz w:val="20"/>
        </w:rPr>
        <w:t xml:space="preserve"> Secretariat of the Company in 2024.</w:t>
      </w:r>
    </w:p>
    <w:p w14:paraId="64FFA326" w14:textId="4C25A161" w:rsidR="001654A2" w:rsidRDefault="00766D67" w:rsidP="00CE16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for the Board of Directors, Supervi</w:t>
      </w:r>
      <w:r w:rsidR="00CE1680">
        <w:rPr>
          <w:rFonts w:ascii="Arial" w:hAnsi="Arial"/>
          <w:color w:val="010000"/>
          <w:sz w:val="20"/>
        </w:rPr>
        <w:t>sory Board</w:t>
      </w:r>
      <w:r>
        <w:rPr>
          <w:rFonts w:ascii="Arial" w:hAnsi="Arial"/>
          <w:color w:val="010000"/>
          <w:sz w:val="20"/>
        </w:rPr>
        <w:t xml:space="preserve"> and Secretariat of the Company in 2023 is as follows:</w:t>
      </w:r>
    </w:p>
    <w:p w14:paraId="3E22CA5D" w14:textId="12BA89C2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Pursuant to General Mandate No. 01/2023/NQ-DHDCD dated April 26, 2023 of the Annual </w:t>
      </w:r>
      <w:r w:rsidR="00CE168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2023, the total remuneration for the Board of D</w:t>
      </w:r>
      <w:r w:rsidR="00CE1680">
        <w:rPr>
          <w:rFonts w:ascii="Arial" w:hAnsi="Arial"/>
          <w:color w:val="010000"/>
          <w:sz w:val="20"/>
        </w:rPr>
        <w:t>irectors, Supervisory Board</w:t>
      </w:r>
      <w:r>
        <w:rPr>
          <w:rFonts w:ascii="Arial" w:hAnsi="Arial"/>
          <w:color w:val="010000"/>
          <w:sz w:val="20"/>
        </w:rPr>
        <w:t xml:space="preserve"> and Secretariat of the Company in 2023 as planned is no more than 3.5% of profit after tax in 2023. </w:t>
      </w:r>
    </w:p>
    <w:p w14:paraId="57BA184B" w14:textId="0E282032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Based on the business results in 2023, the Annual </w:t>
      </w:r>
      <w:r w:rsidR="00CE168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approves the remuneration </w:t>
      </w:r>
      <w:r w:rsidR="00CE1680">
        <w:rPr>
          <w:rFonts w:ascii="Arial" w:hAnsi="Arial"/>
          <w:color w:val="010000"/>
          <w:sz w:val="20"/>
        </w:rPr>
        <w:t>for the Board of Directors, Supervisory Board and</w:t>
      </w:r>
      <w:r>
        <w:rPr>
          <w:rFonts w:ascii="Arial" w:hAnsi="Arial"/>
          <w:color w:val="010000"/>
          <w:sz w:val="20"/>
        </w:rPr>
        <w:t xml:space="preserve"> Secretariat of the Company in 2023 as 3.5% of profit </w:t>
      </w:r>
      <w:r>
        <w:rPr>
          <w:rFonts w:ascii="Arial" w:hAnsi="Arial"/>
          <w:color w:val="010000"/>
          <w:sz w:val="20"/>
        </w:rPr>
        <w:lastRenderedPageBreak/>
        <w:t xml:space="preserve">after tax in 2023 </w:t>
      </w:r>
      <w:r w:rsidR="00CE1680">
        <w:rPr>
          <w:rFonts w:ascii="Arial" w:hAnsi="Arial"/>
          <w:color w:val="010000"/>
          <w:sz w:val="20"/>
        </w:rPr>
        <w:t>amounting</w:t>
      </w:r>
      <w:r>
        <w:rPr>
          <w:rFonts w:ascii="Arial" w:hAnsi="Arial"/>
          <w:color w:val="010000"/>
          <w:sz w:val="20"/>
        </w:rPr>
        <w:t xml:space="preserve"> VND4,332,659,678. </w:t>
      </w:r>
    </w:p>
    <w:p w14:paraId="1942CC2A" w14:textId="77777777" w:rsidR="001654A2" w:rsidRDefault="00766D67" w:rsidP="00CE1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plan for the Board of Directors, the Supervisory Board, and the Secretariat of the Company in 2024:</w:t>
      </w:r>
    </w:p>
    <w:p w14:paraId="329F35B5" w14:textId="11FB1532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Based on the Company's production and business plan 2024, the Annual </w:t>
      </w:r>
      <w:r w:rsidR="00CE168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approves the remuneration plan f</w:t>
      </w:r>
      <w:r w:rsidR="00CE1680">
        <w:rPr>
          <w:rFonts w:ascii="Arial" w:hAnsi="Arial"/>
          <w:color w:val="010000"/>
          <w:sz w:val="20"/>
        </w:rPr>
        <w:t>or the Board of Directors, Supervisory Board and</w:t>
      </w:r>
      <w:r>
        <w:rPr>
          <w:rFonts w:ascii="Arial" w:hAnsi="Arial"/>
          <w:color w:val="010000"/>
          <w:sz w:val="20"/>
        </w:rPr>
        <w:t xml:space="preserve"> Secretariat of the Company in 2024 at no more than 3.5% of profit after tax in 2024.</w:t>
      </w:r>
    </w:p>
    <w:p w14:paraId="20DC416A" w14:textId="77777777" w:rsidR="001654A2" w:rsidRDefault="00766D67" w:rsidP="00CE1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selecting an audit company for the Financial Statements 2024.</w:t>
      </w:r>
    </w:p>
    <w:p w14:paraId="3CC63F1F" w14:textId="77777777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selecting AASC Auditing Firm Company Limited to audit the Financial Statements 2024 of </w:t>
      </w:r>
      <w:proofErr w:type="spellStart"/>
      <w:r>
        <w:rPr>
          <w:rFonts w:ascii="Arial" w:hAnsi="Arial"/>
          <w:color w:val="010000"/>
          <w:sz w:val="20"/>
        </w:rPr>
        <w:t>Protrade</w:t>
      </w:r>
      <w:proofErr w:type="spellEnd"/>
      <w:r>
        <w:rPr>
          <w:rFonts w:ascii="Arial" w:hAnsi="Arial"/>
          <w:color w:val="010000"/>
          <w:sz w:val="20"/>
        </w:rPr>
        <w:t xml:space="preserve"> Garment Joint Stock Company.</w:t>
      </w:r>
    </w:p>
    <w:p w14:paraId="1C706A45" w14:textId="5CCB6E8C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The Annual </w:t>
      </w:r>
      <w:r w:rsidR="00CE168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of </w:t>
      </w:r>
      <w:proofErr w:type="spellStart"/>
      <w:r>
        <w:rPr>
          <w:rFonts w:ascii="Arial" w:hAnsi="Arial"/>
          <w:color w:val="010000"/>
          <w:sz w:val="20"/>
        </w:rPr>
        <w:t>Protrade</w:t>
      </w:r>
      <w:proofErr w:type="spellEnd"/>
      <w:r>
        <w:rPr>
          <w:rFonts w:ascii="Arial" w:hAnsi="Arial"/>
          <w:color w:val="010000"/>
          <w:sz w:val="20"/>
        </w:rPr>
        <w:t xml:space="preserve"> Garment Joint Stock Company approved on assigning the Board of Directors to direct and organize the implementation fully and effectively </w:t>
      </w:r>
      <w:r w:rsidR="00CE1680">
        <w:rPr>
          <w:rFonts w:ascii="Arial" w:hAnsi="Arial"/>
          <w:color w:val="010000"/>
          <w:sz w:val="20"/>
        </w:rPr>
        <w:t>under applicable laws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the Company's Charter.</w:t>
      </w:r>
    </w:p>
    <w:p w14:paraId="1FA9A306" w14:textId="347F5032" w:rsidR="001654A2" w:rsidRDefault="00766D67" w:rsidP="00CE16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This General Mandate was approved by the Annual </w:t>
      </w:r>
      <w:r w:rsidR="00CE168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and takes effect from the date of its promulgation.</w:t>
      </w:r>
    </w:p>
    <w:sectPr w:rsidR="001654A2">
      <w:type w:val="continuous"/>
      <w:pgSz w:w="11909" w:h="16834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E29"/>
    <w:multiLevelType w:val="multilevel"/>
    <w:tmpl w:val="786A0B18"/>
    <w:lvl w:ilvl="0">
      <w:start w:val="1"/>
      <w:numFmt w:val="decimal"/>
      <w:lvlText w:val="6.2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335B5D"/>
    <w:multiLevelType w:val="multilevel"/>
    <w:tmpl w:val="87321B24"/>
    <w:lvl w:ilvl="0">
      <w:start w:val="1"/>
      <w:numFmt w:val="decimal"/>
      <w:lvlText w:val="2.2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62477F"/>
    <w:multiLevelType w:val="multilevel"/>
    <w:tmpl w:val="4636F0D0"/>
    <w:lvl w:ilvl="0">
      <w:start w:val="1"/>
      <w:numFmt w:val="decimal"/>
      <w:lvlText w:val="6.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2EE1625"/>
    <w:multiLevelType w:val="multilevel"/>
    <w:tmpl w:val="655869D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D5B05E9"/>
    <w:multiLevelType w:val="multilevel"/>
    <w:tmpl w:val="B63489A4"/>
    <w:lvl w:ilvl="0">
      <w:start w:val="1"/>
      <w:numFmt w:val="decimal"/>
      <w:lvlText w:val="7.2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DB3C26"/>
    <w:multiLevelType w:val="multilevel"/>
    <w:tmpl w:val="89BC6540"/>
    <w:lvl w:ilvl="0">
      <w:start w:val="1"/>
      <w:numFmt w:val="decimal"/>
      <w:lvlText w:val="7.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A2"/>
    <w:rsid w:val="001654A2"/>
    <w:rsid w:val="00766D67"/>
    <w:rsid w:val="00C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9C36"/>
  <w15:docId w15:val="{55D35169-CDE4-4BF3-A282-C437C9A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1214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1214"/>
      <w:sz w:val="15"/>
      <w:szCs w:val="15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6A7C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36A7C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E31214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11" w:lineRule="auto"/>
    </w:pPr>
    <w:rPr>
      <w:rFonts w:ascii="Times New Roman" w:eastAsia="Times New Roman" w:hAnsi="Times New Roman" w:cs="Times New Roman"/>
      <w:color w:val="E31214"/>
      <w:sz w:val="15"/>
      <w:szCs w:val="15"/>
    </w:rPr>
  </w:style>
  <w:style w:type="paragraph" w:customStyle="1" w:styleId="Vnbnnidung60">
    <w:name w:val="Văn bản nội dung (6)"/>
    <w:basedOn w:val="Normal"/>
    <w:link w:val="Vnbnnidung6"/>
    <w:pPr>
      <w:spacing w:line="300" w:lineRule="auto"/>
      <w:jc w:val="right"/>
    </w:pPr>
    <w:rPr>
      <w:rFonts w:ascii="Times New Roman" w:eastAsia="Times New Roman" w:hAnsi="Times New Roman" w:cs="Times New Roman"/>
      <w:color w:val="C36A7C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spacing w:line="283" w:lineRule="auto"/>
      <w:jc w:val="right"/>
    </w:pPr>
    <w:rPr>
      <w:rFonts w:ascii="Arial" w:eastAsia="Arial" w:hAnsi="Arial" w:cs="Arial"/>
      <w:color w:val="C36A7C"/>
      <w:sz w:val="19"/>
      <w:szCs w:val="19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8QDiPCzxwJvtuVqQMdmBl5A2qw==">CgMxLjA4AHIhMU84VzdOZkFXMzdtV0NLUC1SZGs4djhrRFZ0MkNsdDUt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2024-07-04T03:48:00Z</dcterms:created>
  <dcterms:modified xsi:type="dcterms:W3CDTF">2024-07-04T03:48:00Z</dcterms:modified>
</cp:coreProperties>
</file>