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D6954" w14:textId="77777777" w:rsidR="00FF0956" w:rsidRDefault="00970F48" w:rsidP="00224F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BTU: Annual General Mandate 2024</w:t>
      </w:r>
    </w:p>
    <w:p w14:paraId="25AEA1A5" w14:textId="193565D1" w:rsidR="00FF0956" w:rsidRDefault="00970F48" w:rsidP="00224F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June 28, 2024, </w:t>
      </w:r>
      <w:proofErr w:type="spellStart"/>
      <w:r>
        <w:rPr>
          <w:rFonts w:ascii="Arial" w:hAnsi="Arial"/>
          <w:color w:val="010000"/>
          <w:sz w:val="20"/>
        </w:rPr>
        <w:t>Bentre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r w:rsidR="00224F91">
        <w:rPr>
          <w:rFonts w:ascii="Arial" w:hAnsi="Arial"/>
          <w:color w:val="010000"/>
          <w:sz w:val="20"/>
        </w:rPr>
        <w:t>Urban Project Joint Stock Company</w:t>
      </w:r>
      <w:r>
        <w:rPr>
          <w:rFonts w:ascii="Arial" w:hAnsi="Arial"/>
          <w:color w:val="010000"/>
          <w:sz w:val="20"/>
        </w:rPr>
        <w:t xml:space="preserve"> announced General Mandate No. 21/NQ-DHDCD as follows:</w:t>
      </w:r>
    </w:p>
    <w:p w14:paraId="377C0086" w14:textId="77777777" w:rsidR="00FF0956" w:rsidRDefault="00970F48" w:rsidP="00224F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1. Report on the results of production and business activities 2023 and the plan 2024;</w:t>
      </w:r>
    </w:p>
    <w:p w14:paraId="2B2CD665" w14:textId="77777777" w:rsidR="00FF0956" w:rsidRDefault="00970F48" w:rsidP="00224F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results in 2023:</w:t>
      </w:r>
    </w:p>
    <w:tbl>
      <w:tblPr>
        <w:tblStyle w:val="a"/>
        <w:tblW w:w="8373" w:type="dxa"/>
        <w:tblLayout w:type="fixed"/>
        <w:tblLook w:val="0400" w:firstRow="0" w:lastRow="0" w:firstColumn="0" w:lastColumn="0" w:noHBand="0" w:noVBand="1"/>
      </w:tblPr>
      <w:tblGrid>
        <w:gridCol w:w="522"/>
        <w:gridCol w:w="1925"/>
        <w:gridCol w:w="837"/>
        <w:gridCol w:w="1025"/>
        <w:gridCol w:w="1150"/>
        <w:gridCol w:w="1030"/>
        <w:gridCol w:w="903"/>
        <w:gridCol w:w="981"/>
      </w:tblGrid>
      <w:tr w:rsidR="00FF0956" w:rsidRPr="00017359" w14:paraId="4B30F33A" w14:textId="77777777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99FA1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DD382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7EAFB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E8756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2022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AB44E" w14:textId="77777777" w:rsidR="00FF0956" w:rsidRPr="00017359" w:rsidRDefault="00FF095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3C170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2023</w:t>
            </w:r>
          </w:p>
        </w:tc>
      </w:tr>
      <w:tr w:rsidR="00FF0956" w:rsidRPr="00017359" w14:paraId="047B076E" w14:textId="77777777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FD68E" w14:textId="77777777" w:rsidR="00FF0956" w:rsidRPr="00017359" w:rsidRDefault="00FF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6E14D" w14:textId="77777777" w:rsidR="00FF0956" w:rsidRPr="00017359" w:rsidRDefault="00FF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E0709" w14:textId="77777777" w:rsidR="00FF0956" w:rsidRPr="00017359" w:rsidRDefault="00FF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0C9B9" w14:textId="77777777" w:rsidR="00FF0956" w:rsidRPr="00017359" w:rsidRDefault="00FF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795CC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Plan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A99E9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Results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F6194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Results 2023/ Results 2022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F2DC1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Results/Plan</w:t>
            </w:r>
          </w:p>
        </w:tc>
      </w:tr>
      <w:tr w:rsidR="00FF0956" w:rsidRPr="00017359" w14:paraId="579544B1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8B0EB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81CC8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516C7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775E8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79,674.48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3262B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77,000.00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BEDC7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104,685.42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DC0F0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131.39%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F8244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135.96%</w:t>
            </w:r>
          </w:p>
        </w:tc>
      </w:tr>
      <w:tr w:rsidR="00FF0956" w:rsidRPr="00017359" w14:paraId="2B1665CC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919EA" w14:textId="77777777" w:rsidR="00FF0956" w:rsidRPr="00017359" w:rsidRDefault="00FF095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3D0CC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Revenue from public-benefit activities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DCAB9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6DFEB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70,217.89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90381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65,000.00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82A21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81,230.35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50BA8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115.68%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D0A71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124.97%</w:t>
            </w:r>
          </w:p>
        </w:tc>
      </w:tr>
      <w:tr w:rsidR="00FF0956" w:rsidRPr="00017359" w14:paraId="07F195AE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C074C" w14:textId="77777777" w:rsidR="00FF0956" w:rsidRPr="00017359" w:rsidRDefault="00FF095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0AD54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- Revenue from other activities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62445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A19BF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9,456.59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A9473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12,000.00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DAE03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23,455.07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95F56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248.03%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B5390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195.46%</w:t>
            </w:r>
          </w:p>
        </w:tc>
      </w:tr>
      <w:tr w:rsidR="00FF0956" w:rsidRPr="00017359" w14:paraId="37F92B07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7E9EF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658BA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6CEC9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7A832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7,988.82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C6253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6,500.00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4F407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9,782.66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27D44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122.45%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C99E9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150.50%</w:t>
            </w:r>
          </w:p>
        </w:tc>
      </w:tr>
      <w:tr w:rsidR="00FF0956" w:rsidRPr="00017359" w14:paraId="0C7C7288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48BE6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7E705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Payables to the State budget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69D62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0881A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1,004.23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21C92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845.00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EDFAF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1,243.15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823D3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123.79%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33B07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147.12%</w:t>
            </w:r>
          </w:p>
        </w:tc>
      </w:tr>
      <w:tr w:rsidR="00FF0956" w:rsidRPr="00017359" w14:paraId="20863AAB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28FF8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9D84A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B5564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7B43E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6,984.59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AA357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5,655.00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8FAF9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8,539.52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10F67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122.26%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8C04E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151.01%</w:t>
            </w:r>
          </w:p>
        </w:tc>
      </w:tr>
      <w:tr w:rsidR="00FF0956" w:rsidRPr="00017359" w14:paraId="26FC3E71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56CCA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B63D7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 xml:space="preserve">Basic </w:t>
            </w:r>
            <w:proofErr w:type="spellStart"/>
            <w:r w:rsidRPr="00017359">
              <w:rPr>
                <w:rFonts w:ascii="Arial" w:hAnsi="Arial"/>
                <w:color w:val="010000"/>
                <w:sz w:val="20"/>
              </w:rPr>
              <w:t>earning</w:t>
            </w:r>
            <w:proofErr w:type="spellEnd"/>
            <w:r w:rsidRPr="00017359">
              <w:rPr>
                <w:rFonts w:ascii="Arial" w:hAnsi="Arial"/>
                <w:color w:val="010000"/>
                <w:sz w:val="20"/>
              </w:rPr>
              <w:t xml:space="preserve"> per share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1FC81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0D30D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1,530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D9308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1,238.5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E76BE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1,900.22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E32E4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124.18%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2FC78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153.43%</w:t>
            </w:r>
          </w:p>
        </w:tc>
      </w:tr>
      <w:tr w:rsidR="00FF0956" w:rsidRPr="00017359" w14:paraId="69A910C4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44D64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9D515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Remaining profit for dividend payment/charter capital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08C14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AA213" w14:textId="4F8B9273" w:rsidR="00FF0956" w:rsidRPr="00017359" w:rsidRDefault="00224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11.42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87F55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9.24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99DD9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11.89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949A1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104.08%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A5704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128.59%</w:t>
            </w:r>
          </w:p>
        </w:tc>
      </w:tr>
      <w:tr w:rsidR="00FF0956" w:rsidRPr="00017359" w14:paraId="0BFD9E4B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517A8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94372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Dividend payment/charter capital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D6E30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9185B" w14:textId="5AA69586" w:rsidR="00FF0956" w:rsidRPr="00017359" w:rsidRDefault="00224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82AB5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B3ED1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5A255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100.00%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15884" w14:textId="77777777" w:rsidR="00FF0956" w:rsidRPr="00017359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17359">
              <w:rPr>
                <w:rFonts w:ascii="Arial" w:hAnsi="Arial"/>
                <w:color w:val="010000"/>
                <w:sz w:val="20"/>
              </w:rPr>
              <w:t>125.00%</w:t>
            </w:r>
          </w:p>
        </w:tc>
      </w:tr>
    </w:tbl>
    <w:p w14:paraId="1BAE4AA9" w14:textId="77777777" w:rsidR="00FF0956" w:rsidRDefault="00970F4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Main targets 2024</w:t>
      </w:r>
    </w:p>
    <w:tbl>
      <w:tblPr>
        <w:tblStyle w:val="a0"/>
        <w:tblW w:w="8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2170"/>
        <w:gridCol w:w="1366"/>
        <w:gridCol w:w="1402"/>
        <w:gridCol w:w="1375"/>
        <w:gridCol w:w="1387"/>
      </w:tblGrid>
      <w:tr w:rsidR="00FF0956" w14:paraId="185FF772" w14:textId="77777777">
        <w:tc>
          <w:tcPr>
            <w:tcW w:w="673" w:type="dxa"/>
            <w:vMerge w:val="restart"/>
            <w:shd w:val="clear" w:color="auto" w:fill="auto"/>
            <w:vAlign w:val="center"/>
          </w:tcPr>
          <w:p w14:paraId="0872FDB4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</w:tcPr>
          <w:p w14:paraId="3E7BA0BB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27D20492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14:paraId="3F061853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2023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67E0065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</w:t>
            </w:r>
          </w:p>
        </w:tc>
      </w:tr>
      <w:tr w:rsidR="00FF0956" w14:paraId="3BF46571" w14:textId="77777777">
        <w:tc>
          <w:tcPr>
            <w:tcW w:w="673" w:type="dxa"/>
            <w:vMerge/>
            <w:shd w:val="clear" w:color="auto" w:fill="auto"/>
            <w:vAlign w:val="center"/>
          </w:tcPr>
          <w:p w14:paraId="34A4A0F7" w14:textId="77777777" w:rsidR="00FF0956" w:rsidRDefault="00FF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70" w:type="dxa"/>
            <w:vMerge/>
            <w:shd w:val="clear" w:color="auto" w:fill="auto"/>
            <w:vAlign w:val="center"/>
          </w:tcPr>
          <w:p w14:paraId="2ABFE153" w14:textId="77777777" w:rsidR="00FF0956" w:rsidRDefault="00FF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1E33EC78" w14:textId="77777777" w:rsidR="00FF0956" w:rsidRDefault="00FF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14:paraId="49037DBA" w14:textId="77777777" w:rsidR="00FF0956" w:rsidRDefault="00FF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5FB2303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E7AE6C8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Compared to 2023</w:t>
            </w:r>
          </w:p>
        </w:tc>
      </w:tr>
      <w:tr w:rsidR="00FF0956" w14:paraId="1F4DDDC0" w14:textId="77777777">
        <w:tc>
          <w:tcPr>
            <w:tcW w:w="673" w:type="dxa"/>
            <w:shd w:val="clear" w:color="auto" w:fill="auto"/>
            <w:vAlign w:val="center"/>
          </w:tcPr>
          <w:p w14:paraId="29E4714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BDA605F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3B00377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281B5BC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104,685.42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525CE67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78,000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66C2ED8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74.51%</w:t>
            </w:r>
          </w:p>
        </w:tc>
      </w:tr>
      <w:tr w:rsidR="00FF0956" w14:paraId="79D6D2E1" w14:textId="77777777">
        <w:tc>
          <w:tcPr>
            <w:tcW w:w="673" w:type="dxa"/>
            <w:shd w:val="clear" w:color="auto" w:fill="auto"/>
            <w:vAlign w:val="center"/>
          </w:tcPr>
          <w:p w14:paraId="0940DAF5" w14:textId="77777777" w:rsidR="00FF0956" w:rsidRDefault="00FF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181C9211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Revenue from public-benefit activities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B1C5E5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A5BB9A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81,230.35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BEDD5D2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60,000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E309BD4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73.86%</w:t>
            </w:r>
          </w:p>
        </w:tc>
      </w:tr>
      <w:tr w:rsidR="00FF0956" w14:paraId="2F399EF1" w14:textId="77777777">
        <w:tc>
          <w:tcPr>
            <w:tcW w:w="673" w:type="dxa"/>
            <w:shd w:val="clear" w:color="auto" w:fill="auto"/>
            <w:vAlign w:val="center"/>
          </w:tcPr>
          <w:p w14:paraId="4164EACA" w14:textId="77777777" w:rsidR="00FF0956" w:rsidRDefault="00FF0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57901455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Revenue from other activities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D68EF9F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“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DBD926F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23,455.07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CA786D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18,000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1ECA9C4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76.74%</w:t>
            </w:r>
          </w:p>
        </w:tc>
      </w:tr>
      <w:tr w:rsidR="00FF0956" w14:paraId="4EB16421" w14:textId="77777777">
        <w:tc>
          <w:tcPr>
            <w:tcW w:w="673" w:type="dxa"/>
            <w:shd w:val="clear" w:color="auto" w:fill="auto"/>
            <w:vAlign w:val="center"/>
          </w:tcPr>
          <w:p w14:paraId="50935C1E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041B933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46AAC40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B5EDB1A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9,782.66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1087C12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7,800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D8C6953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79.73%</w:t>
            </w:r>
          </w:p>
        </w:tc>
      </w:tr>
      <w:tr w:rsidR="00FF0956" w14:paraId="368AF9EA" w14:textId="77777777">
        <w:tc>
          <w:tcPr>
            <w:tcW w:w="673" w:type="dxa"/>
            <w:shd w:val="clear" w:color="auto" w:fill="auto"/>
            <w:vAlign w:val="center"/>
          </w:tcPr>
          <w:p w14:paraId="065B162A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F6E0A5E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Payables to the State budget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B90B26E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91A109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1,243.15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7FB1040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1,020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5AB453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82.05%</w:t>
            </w:r>
          </w:p>
        </w:tc>
      </w:tr>
      <w:tr w:rsidR="00FF0956" w14:paraId="439E7AC5" w14:textId="77777777">
        <w:tc>
          <w:tcPr>
            <w:tcW w:w="673" w:type="dxa"/>
            <w:shd w:val="clear" w:color="auto" w:fill="auto"/>
            <w:vAlign w:val="center"/>
          </w:tcPr>
          <w:p w14:paraId="0CA262EC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CB9B433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B42F8C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34E7B27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8,539.52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4D75BFD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6,780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4F0C411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79.40%</w:t>
            </w:r>
          </w:p>
        </w:tc>
      </w:tr>
      <w:tr w:rsidR="00FF0956" w14:paraId="38F43EAC" w14:textId="77777777">
        <w:tc>
          <w:tcPr>
            <w:tcW w:w="673" w:type="dxa"/>
            <w:shd w:val="clear" w:color="auto" w:fill="auto"/>
            <w:vAlign w:val="center"/>
          </w:tcPr>
          <w:p w14:paraId="31D8B30E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159F19B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Basic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earning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per share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296B920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B48D717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1,900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4707EB9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1,508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ABA524D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79.38%</w:t>
            </w:r>
          </w:p>
        </w:tc>
      </w:tr>
      <w:tr w:rsidR="00FF0956" w14:paraId="142E6B73" w14:textId="77777777">
        <w:tc>
          <w:tcPr>
            <w:tcW w:w="673" w:type="dxa"/>
            <w:shd w:val="clear" w:color="auto" w:fill="auto"/>
            <w:vAlign w:val="center"/>
          </w:tcPr>
          <w:p w14:paraId="0D151924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D722695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Remaining profit for dividend payment/charter capital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F3F1E4A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379AF9C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11.89¬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E52CC62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9.43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977CE34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79.31%</w:t>
            </w:r>
          </w:p>
        </w:tc>
      </w:tr>
      <w:tr w:rsidR="00FF0956" w14:paraId="59A2276E" w14:textId="77777777">
        <w:tc>
          <w:tcPr>
            <w:tcW w:w="673" w:type="dxa"/>
            <w:shd w:val="clear" w:color="auto" w:fill="auto"/>
            <w:vAlign w:val="center"/>
          </w:tcPr>
          <w:p w14:paraId="53DCC3FD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7579700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payment/charter capital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648CFE3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25C1F17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10¬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321973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AB2D500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70.00%</w:t>
            </w:r>
          </w:p>
        </w:tc>
      </w:tr>
    </w:tbl>
    <w:p w14:paraId="3CCF9D46" w14:textId="28BBD3EB" w:rsidR="00FF0956" w:rsidRDefault="00970F48" w:rsidP="00224F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2. Report of the Board of Dir</w:t>
      </w:r>
      <w:r w:rsidR="00224F91">
        <w:rPr>
          <w:rFonts w:ascii="Arial" w:hAnsi="Arial"/>
          <w:color w:val="010000"/>
          <w:sz w:val="20"/>
        </w:rPr>
        <w:t xml:space="preserve">ectors on the results 2023 and </w:t>
      </w:r>
      <w:r>
        <w:rPr>
          <w:rFonts w:ascii="Arial" w:hAnsi="Arial"/>
          <w:color w:val="010000"/>
          <w:sz w:val="20"/>
        </w:rPr>
        <w:t>operational plan for 2024</w:t>
      </w:r>
    </w:p>
    <w:p w14:paraId="03D15901" w14:textId="77777777" w:rsidR="00FF0956" w:rsidRDefault="00970F48" w:rsidP="00224F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3. Report on activities of the Supervisory Board in 2023 and the operational plan for 2024.</w:t>
      </w:r>
    </w:p>
    <w:p w14:paraId="11503549" w14:textId="77777777" w:rsidR="00FF0956" w:rsidRDefault="00970F48" w:rsidP="00224F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4. Proposal to approve the Audited Financial Statements 2023.</w:t>
      </w:r>
    </w:p>
    <w:p w14:paraId="4D18F4A8" w14:textId="77777777" w:rsidR="00FF0956" w:rsidRDefault="00970F48" w:rsidP="00224F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5. Proposal on the distribution of profit after tax of 2023 and the plan for 2024</w:t>
      </w:r>
    </w:p>
    <w:p w14:paraId="516EA147" w14:textId="77777777" w:rsidR="00FF0956" w:rsidRDefault="00970F48" w:rsidP="00224F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Notice on the profit distribution and appropriation for funds in 2023, the plan on profit distribution in 2024:</w:t>
      </w:r>
    </w:p>
    <w:tbl>
      <w:tblPr>
        <w:tblStyle w:val="a1"/>
        <w:tblW w:w="8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294"/>
        <w:gridCol w:w="958"/>
        <w:gridCol w:w="1099"/>
        <w:gridCol w:w="1201"/>
        <w:gridCol w:w="1261"/>
      </w:tblGrid>
      <w:tr w:rsidR="00FF0956" w14:paraId="4D688C8B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E0F3D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B66F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9B001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1D887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2023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C756F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2023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1D440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</w:t>
            </w:r>
          </w:p>
        </w:tc>
      </w:tr>
      <w:tr w:rsidR="00FF0956" w14:paraId="704E4E39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47C8C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AEEB5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Charter capital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48C85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F79F8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36,000.00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70D04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36,000.00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B17D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36,000.00</w:t>
            </w:r>
          </w:p>
        </w:tc>
      </w:tr>
      <w:tr w:rsidR="00FF0956" w14:paraId="47E2D8DC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BC69D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10000"/>
                <w:sz w:val="20"/>
              </w:rPr>
              <w:t>2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F29B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revenue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FF932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7B0FC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77,000.00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D616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104,685.42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E8C8D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78,000.00</w:t>
            </w:r>
          </w:p>
        </w:tc>
      </w:tr>
      <w:tr w:rsidR="00FF0956" w14:paraId="6161F7DF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64F61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025D0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expenses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773C7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Million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VND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1839E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70,500.00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31493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94,902.76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90C85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70,200.00</w:t>
            </w:r>
          </w:p>
        </w:tc>
      </w:tr>
      <w:tr w:rsidR="00FF0956" w14:paraId="4488013A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F10A3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E02E5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2088B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EB85B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6,500.00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33847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9,782.66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2BEA1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7,800.00</w:t>
            </w:r>
          </w:p>
        </w:tc>
      </w:tr>
      <w:tr w:rsidR="00FF0956" w14:paraId="13EE3B60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3E6A3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5¬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3C984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69FAC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877B5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5,655.00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515A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8,539.52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C524D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6,780.00</w:t>
            </w:r>
          </w:p>
        </w:tc>
      </w:tr>
      <w:tr w:rsidR="00FF0956" w14:paraId="46B2628D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89ED4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1F36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Appropriation for funds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3555E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EAB4D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2,327.40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E6CA2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4,260.56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A5D84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3,384.09</w:t>
            </w:r>
          </w:p>
        </w:tc>
      </w:tr>
      <w:tr w:rsidR="00FF0956" w14:paraId="5D4B4784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B8DA5" w14:textId="77777777" w:rsidR="00FF0956" w:rsidRDefault="00FF095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5C549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and development fund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E7343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8A0D8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1,131.00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F273A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2,561.85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0D514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2,034.00</w:t>
            </w:r>
          </w:p>
        </w:tc>
      </w:tr>
      <w:tr w:rsidR="00FF0956" w14:paraId="14802FDC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37855" w14:textId="77777777" w:rsidR="00FF0956" w:rsidRDefault="00FF095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C2581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and welfare funds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78A6C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632CB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848.25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75C40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1,280.93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B0088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1,017.00</w:t>
            </w:r>
          </w:p>
        </w:tc>
      </w:tr>
      <w:tr w:rsidR="00FF0956" w14:paraId="3FF48E01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8C538" w14:textId="77777777" w:rsidR="00FF0956" w:rsidRDefault="00FF095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2B4F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 Bonus fund for executive managers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4FD03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B260B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348.15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F588D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417.78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4EA12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333.09</w:t>
            </w:r>
          </w:p>
        </w:tc>
      </w:tr>
      <w:tr w:rsidR="00FF0956" w14:paraId="2FAE3D88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8918F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4E295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remaining profit for dividend payment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53A7A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15E0C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3,327.60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1B26D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4,278.95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6BEAF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3,395.91</w:t>
            </w:r>
          </w:p>
        </w:tc>
      </w:tr>
      <w:tr w:rsidR="00FF0956" w14:paraId="7DF49E64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B4AEB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60245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remaining profit for dividend payment/ charter capital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1F64B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2845E" w14:textId="009B5F02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9.24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D0448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11.89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A1AD7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9.43</w:t>
            </w:r>
          </w:p>
        </w:tc>
      </w:tr>
      <w:tr w:rsidR="00FF0956" w14:paraId="1C996D52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D5EEF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FD35B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C56C5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9C891" w14:textId="42F2BCD3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0260A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00C6D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</w:tr>
      <w:tr w:rsidR="00FF0956" w14:paraId="77D7F1CB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3A45A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4E810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remaining accumulated profit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77FB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B310C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3,116.44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58196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3,347.80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92471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4,223.70</w:t>
            </w:r>
          </w:p>
        </w:tc>
      </w:tr>
      <w:tr w:rsidR="00FF0956" w14:paraId="4E74E0DF" w14:textId="77777777">
        <w:tc>
          <w:tcPr>
            <w:tcW w:w="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3E492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47734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remaining accumulated profit/ charter capital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DC848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92315" w14:textId="7542B66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8.65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3CDEB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9.30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FA2C9" w14:textId="77777777" w:rsidR="00FF0956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11.73</w:t>
            </w:r>
          </w:p>
        </w:tc>
      </w:tr>
    </w:tbl>
    <w:p w14:paraId="74E39B8F" w14:textId="77777777" w:rsidR="00FF0956" w:rsidRDefault="00970F48" w:rsidP="00224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Investment and development fund: Appropriation level of the plan 2023 was equivalent to 20% of profit after tax, appropriation level of results 2023 and plan 2024 is equivalent to 30% of profit after tax;</w:t>
      </w:r>
    </w:p>
    <w:p w14:paraId="5AD3A0E7" w14:textId="77777777" w:rsidR="00FF0956" w:rsidRDefault="00970F48" w:rsidP="00224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Bonus and welfare funds: The appropriation level is equivalent to 15% of profit after tax;</w:t>
      </w:r>
    </w:p>
    <w:p w14:paraId="03D0A3C0" w14:textId="486B0F21" w:rsidR="00FF0956" w:rsidRDefault="00970F48" w:rsidP="00224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Bonus fund for the executive managers and Bonus and welfare funds for employees are appropriated </w:t>
      </w:r>
      <w:r w:rsidR="00224F91">
        <w:rPr>
          <w:rFonts w:ascii="Arial" w:hAnsi="Arial"/>
          <w:color w:val="010000"/>
          <w:sz w:val="20"/>
        </w:rPr>
        <w:t>under</w:t>
      </w:r>
      <w:r>
        <w:rPr>
          <w:rFonts w:ascii="Arial" w:hAnsi="Arial"/>
          <w:color w:val="010000"/>
          <w:sz w:val="20"/>
        </w:rPr>
        <w:t xml:space="preserve"> Decree No. 53/2016/ND-CP of the Government and the Annual General Mandate 2023.</w:t>
      </w:r>
    </w:p>
    <w:p w14:paraId="7626AA74" w14:textId="77777777" w:rsidR="00FF0956" w:rsidRDefault="00970F48" w:rsidP="00224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expenses include welfare expense (not exceeding 01 month's actual salary) paid directly to employees as prescribed in Article 4 of Circular 96/2015/TT-BTC and Article 63 of Circular No. 200/2014/TT-BTC.</w:t>
      </w:r>
    </w:p>
    <w:p w14:paraId="44661CB3" w14:textId="77777777" w:rsidR="00FF0956" w:rsidRDefault="00970F48" w:rsidP="00224F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6. Proposal on salary, remuneration 2023 and the plan 2024 for the managers of the Company.</w:t>
      </w:r>
    </w:p>
    <w:p w14:paraId="1C67E2E9" w14:textId="48BDA3AE" w:rsidR="00FF0956" w:rsidRDefault="00970F48" w:rsidP="00224F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Board of Directors submitted to the Annual General Meeting 2024 to approve salaries and remunerations for managers as follows:</w:t>
      </w:r>
    </w:p>
    <w:tbl>
      <w:tblPr>
        <w:tblStyle w:val="a2"/>
        <w:tblW w:w="8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3088"/>
        <w:gridCol w:w="965"/>
        <w:gridCol w:w="1753"/>
        <w:gridCol w:w="1871"/>
      </w:tblGrid>
      <w:tr w:rsidR="00FF0956" w:rsidRPr="00913301" w14:paraId="525E2A9F" w14:textId="77777777">
        <w:tc>
          <w:tcPr>
            <w:tcW w:w="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8BCFD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72687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9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DE31B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Number of persons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E6962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 xml:space="preserve">Results 2023 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DC7FE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Plan 2024</w:t>
            </w:r>
          </w:p>
        </w:tc>
      </w:tr>
      <w:tr w:rsidR="00FF0956" w:rsidRPr="00913301" w14:paraId="7D41659D" w14:textId="77777777">
        <w:tc>
          <w:tcPr>
            <w:tcW w:w="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5FD51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3C0F3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 xml:space="preserve">Salary of the executive </w:t>
            </w:r>
          </w:p>
        </w:tc>
        <w:tc>
          <w:tcPr>
            <w:tcW w:w="9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E10C7" w14:textId="77777777" w:rsidR="00FF0956" w:rsidRPr="00913301" w:rsidRDefault="00FF095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69A42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3,342,229,320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88209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2,664,759,408</w:t>
            </w:r>
          </w:p>
        </w:tc>
      </w:tr>
      <w:tr w:rsidR="00FF0956" w:rsidRPr="00913301" w14:paraId="08900F47" w14:textId="77777777">
        <w:tc>
          <w:tcPr>
            <w:tcW w:w="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429C7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386F1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- Member of the Board of Directors</w:t>
            </w:r>
          </w:p>
        </w:tc>
        <w:tc>
          <w:tcPr>
            <w:tcW w:w="9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CA89C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D5970" w14:textId="755FA0BC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1</w:t>
            </w:r>
            <w:r w:rsidR="00A7548C">
              <w:rPr>
                <w:rFonts w:ascii="Arial" w:hAnsi="Arial"/>
                <w:color w:val="010000"/>
                <w:sz w:val="20"/>
              </w:rPr>
              <w:t>,</w:t>
            </w:r>
            <w:r w:rsidRPr="00913301">
              <w:rPr>
                <w:rFonts w:ascii="Arial" w:hAnsi="Arial"/>
                <w:color w:val="010000"/>
                <w:sz w:val="20"/>
              </w:rPr>
              <w:t>006</w:t>
            </w:r>
            <w:r w:rsidR="00A7548C">
              <w:rPr>
                <w:rFonts w:ascii="Arial" w:hAnsi="Arial"/>
                <w:color w:val="010000"/>
                <w:sz w:val="20"/>
              </w:rPr>
              <w:t>,</w:t>
            </w:r>
            <w:r w:rsidRPr="00913301">
              <w:rPr>
                <w:rFonts w:ascii="Arial" w:hAnsi="Arial"/>
                <w:color w:val="010000"/>
                <w:sz w:val="20"/>
              </w:rPr>
              <w:t>849</w:t>
            </w:r>
            <w:r w:rsidR="00A7548C">
              <w:rPr>
                <w:rFonts w:ascii="Arial" w:hAnsi="Arial"/>
                <w:color w:val="010000"/>
                <w:sz w:val="20"/>
              </w:rPr>
              <w:t>,</w:t>
            </w:r>
            <w:r w:rsidRPr="00913301">
              <w:rPr>
                <w:rFonts w:ascii="Arial" w:hAnsi="Arial"/>
                <w:color w:val="010000"/>
                <w:sz w:val="20"/>
              </w:rPr>
              <w:t>920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D05B0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802,761,432</w:t>
            </w:r>
          </w:p>
        </w:tc>
      </w:tr>
      <w:tr w:rsidR="00FF0956" w:rsidRPr="00913301" w14:paraId="10E5CEF3" w14:textId="77777777">
        <w:tc>
          <w:tcPr>
            <w:tcW w:w="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6BE35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BBF90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- The Supervisory Board</w:t>
            </w:r>
          </w:p>
        </w:tc>
        <w:tc>
          <w:tcPr>
            <w:tcW w:w="9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0B5A8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5A64E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402,001,035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9C19F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318,460,997</w:t>
            </w:r>
          </w:p>
        </w:tc>
      </w:tr>
      <w:tr w:rsidR="00FF0956" w:rsidRPr="00913301" w14:paraId="63967A3E" w14:textId="77777777">
        <w:tc>
          <w:tcPr>
            <w:tcW w:w="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1001D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E4F72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- The Executive Manager</w:t>
            </w:r>
          </w:p>
        </w:tc>
        <w:tc>
          <w:tcPr>
            <w:tcW w:w="9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AAC5F" w14:textId="63987A95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377D3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1,933,378,365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8C625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1,543,536,979</w:t>
            </w:r>
          </w:p>
        </w:tc>
      </w:tr>
      <w:tr w:rsidR="00FF0956" w:rsidRPr="00913301" w14:paraId="78203D7F" w14:textId="77777777">
        <w:tc>
          <w:tcPr>
            <w:tcW w:w="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C7FA8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A0F6D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Remuneration</w:t>
            </w:r>
          </w:p>
        </w:tc>
        <w:tc>
          <w:tcPr>
            <w:tcW w:w="9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E6F56" w14:textId="77777777" w:rsidR="00FF0956" w:rsidRPr="00913301" w:rsidRDefault="00FF095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20C90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348,000,000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8AD60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302,400,000</w:t>
            </w:r>
          </w:p>
        </w:tc>
      </w:tr>
      <w:tr w:rsidR="00FF0956" w:rsidRPr="00913301" w14:paraId="7827A62F" w14:textId="77777777">
        <w:tc>
          <w:tcPr>
            <w:tcW w:w="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43AA2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A1851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- Member of the Board of Directors</w:t>
            </w:r>
          </w:p>
        </w:tc>
        <w:tc>
          <w:tcPr>
            <w:tcW w:w="9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3AF7E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06D56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168,000,000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F39C3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146,400,000</w:t>
            </w:r>
          </w:p>
        </w:tc>
      </w:tr>
      <w:tr w:rsidR="00FF0956" w:rsidRPr="00913301" w14:paraId="3CBE3A91" w14:textId="77777777">
        <w:tc>
          <w:tcPr>
            <w:tcW w:w="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F49B2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AE570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- Members of the Supervisory Board</w:t>
            </w:r>
          </w:p>
        </w:tc>
        <w:tc>
          <w:tcPr>
            <w:tcW w:w="9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0E73C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3B1B4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132,000,000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5161D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114,000,000</w:t>
            </w:r>
          </w:p>
        </w:tc>
      </w:tr>
      <w:tr w:rsidR="00FF0956" w:rsidRPr="00913301" w14:paraId="2699D6C7" w14:textId="77777777">
        <w:tc>
          <w:tcPr>
            <w:tcW w:w="6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992F5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7A960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- The Secretariat</w:t>
            </w:r>
          </w:p>
        </w:tc>
        <w:tc>
          <w:tcPr>
            <w:tcW w:w="9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9C90D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2D741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48,000,000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8C927" w14:textId="77777777" w:rsidR="00FF0956" w:rsidRPr="00913301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13301">
              <w:rPr>
                <w:rFonts w:ascii="Arial" w:hAnsi="Arial"/>
                <w:color w:val="010000"/>
                <w:sz w:val="20"/>
              </w:rPr>
              <w:t>42,000,000</w:t>
            </w:r>
          </w:p>
        </w:tc>
      </w:tr>
    </w:tbl>
    <w:p w14:paraId="76D162A3" w14:textId="77777777" w:rsidR="00FF0956" w:rsidRDefault="00970F48" w:rsidP="00224F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Detailed remuneration plan for the Board of Directors, the Supervisory Board and the Secretariat 2024 as follows:</w:t>
      </w:r>
    </w:p>
    <w:p w14:paraId="59C1F8F4" w14:textId="77777777" w:rsidR="00FF0956" w:rsidRDefault="00970F48" w:rsidP="00224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Members of the Board of Directors: 2 persons X [(VND7,000,000 X 6 months) + (VND5,200,000 X 6 months)]</w:t>
      </w:r>
    </w:p>
    <w:p w14:paraId="01789EA8" w14:textId="77777777" w:rsidR="00FF0956" w:rsidRDefault="00970F48" w:rsidP="00224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Member of the Supervisory Board: 2 persons X [(VND5,500,000 X 6 months) + (VND4,000,000 X 6 months)]</w:t>
      </w:r>
    </w:p>
    <w:p w14:paraId="0B6B49BC" w14:textId="77777777" w:rsidR="00FF0956" w:rsidRDefault="00970F48" w:rsidP="00224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Secretariat of the Board of Directors: 1 person X [(VND4,000,000 X 6 months) + (VND3,000,000 X 6 months)]</w:t>
      </w:r>
    </w:p>
    <w:p w14:paraId="2DF85557" w14:textId="77777777" w:rsidR="00FF0956" w:rsidRDefault="00970F48" w:rsidP="00224F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7. Proposal on the selection of an audit company to audit the Financial Statements 2024.</w:t>
      </w:r>
    </w:p>
    <w:p w14:paraId="2AEEB7BF" w14:textId="2B002F12" w:rsidR="00FF0956" w:rsidRDefault="00970F48" w:rsidP="00224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General Meeting of Shareholders agreed to select an independent audit company at the request of the Chief of the Supervisory Board to audit the Financial Statements 2024 of </w:t>
      </w:r>
      <w:proofErr w:type="spellStart"/>
      <w:r>
        <w:rPr>
          <w:rFonts w:ascii="Arial" w:hAnsi="Arial"/>
          <w:color w:val="010000"/>
          <w:sz w:val="20"/>
        </w:rPr>
        <w:t>Bentre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r w:rsidR="00224F91">
        <w:rPr>
          <w:rFonts w:ascii="Arial" w:hAnsi="Arial"/>
          <w:color w:val="010000"/>
          <w:sz w:val="20"/>
        </w:rPr>
        <w:t>Urban Project Joint Stock Company</w:t>
      </w:r>
      <w:r>
        <w:rPr>
          <w:rFonts w:ascii="Arial" w:hAnsi="Arial"/>
          <w:color w:val="010000"/>
          <w:sz w:val="20"/>
        </w:rPr>
        <w:t xml:space="preserve"> </w:t>
      </w:r>
      <w:r w:rsidR="00224F91">
        <w:rPr>
          <w:rFonts w:ascii="Arial" w:hAnsi="Arial"/>
          <w:color w:val="010000"/>
          <w:sz w:val="20"/>
        </w:rPr>
        <w:t>under applicable laws</w:t>
      </w:r>
      <w:r>
        <w:rPr>
          <w:rFonts w:ascii="Arial" w:hAnsi="Arial"/>
          <w:color w:val="010000"/>
          <w:sz w:val="20"/>
        </w:rPr>
        <w:t xml:space="preserve"> with the selected audit company</w:t>
      </w:r>
      <w:r w:rsidR="00224F91">
        <w:rPr>
          <w:rFonts w:ascii="Arial" w:hAnsi="Arial"/>
          <w:color w:val="010000"/>
          <w:sz w:val="20"/>
        </w:rPr>
        <w:t xml:space="preserve"> as follows</w:t>
      </w:r>
      <w:r>
        <w:rPr>
          <w:rFonts w:ascii="Arial" w:hAnsi="Arial"/>
          <w:color w:val="010000"/>
          <w:sz w:val="20"/>
        </w:rPr>
        <w:t>:</w:t>
      </w:r>
    </w:p>
    <w:p w14:paraId="230BE102" w14:textId="77777777" w:rsidR="00FF0956" w:rsidRDefault="00970F48" w:rsidP="0022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A&amp;C Auditing and Consulting Company Limited</w:t>
      </w:r>
    </w:p>
    <w:p w14:paraId="19C3D7EB" w14:textId="77777777" w:rsidR="00FF0956" w:rsidRDefault="00970F48" w:rsidP="0022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Tax code: 0300449815</w:t>
      </w:r>
    </w:p>
    <w:p w14:paraId="093F0776" w14:textId="77574EC0" w:rsidR="00FF0956" w:rsidRDefault="00970F48" w:rsidP="0022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Address: 02 Truong Son</w:t>
      </w:r>
      <w:r w:rsidR="00224F91">
        <w:rPr>
          <w:rFonts w:ascii="Arial" w:hAnsi="Arial"/>
          <w:color w:val="010000"/>
          <w:sz w:val="20"/>
        </w:rPr>
        <w:t xml:space="preserve"> Road</w:t>
      </w:r>
      <w:r>
        <w:rPr>
          <w:rFonts w:ascii="Arial" w:hAnsi="Arial"/>
          <w:color w:val="010000"/>
          <w:sz w:val="20"/>
        </w:rPr>
        <w:t xml:space="preserve">, Ward 2, Tan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District, Ho Chi Minh City</w:t>
      </w:r>
    </w:p>
    <w:p w14:paraId="520DF4B9" w14:textId="77777777" w:rsidR="00FF0956" w:rsidRDefault="00970F48" w:rsidP="00224F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8. Proposal on the dismissal and election of additional members for the Board of Directors.</w:t>
      </w:r>
    </w:p>
    <w:p w14:paraId="7C723DE6" w14:textId="77777777" w:rsidR="00FF0956" w:rsidRDefault="00970F48" w:rsidP="00224F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9. Approve the election result of additional members to the Board of Directors for the term of 2020-2025:</w:t>
      </w:r>
    </w:p>
    <w:p w14:paraId="45BD9D3C" w14:textId="77777777" w:rsidR="00FF0956" w:rsidRDefault="00970F48" w:rsidP="0022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list of candidates nominated to elect additional members of the Board of Directors includes:</w:t>
      </w:r>
    </w:p>
    <w:p w14:paraId="1645EA3B" w14:textId="77777777" w:rsidR="00FF0956" w:rsidRDefault="00970F48" w:rsidP="00224F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Ms. Huynh Thanh Hai</w:t>
      </w:r>
    </w:p>
    <w:p w14:paraId="13378E56" w14:textId="77777777" w:rsidR="00FF0956" w:rsidRDefault="00970F48" w:rsidP="00224F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Mr. Le Van Vu</w:t>
      </w:r>
    </w:p>
    <w:p w14:paraId="555C35DC" w14:textId="77777777" w:rsidR="00FF0956" w:rsidRDefault="00970F48" w:rsidP="0022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Results of additional election of members of the Board of Directors, specifically as follows:</w:t>
      </w:r>
    </w:p>
    <w:tbl>
      <w:tblPr>
        <w:tblStyle w:val="a3"/>
        <w:tblW w:w="8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119"/>
        <w:gridCol w:w="4692"/>
      </w:tblGrid>
      <w:tr w:rsidR="00FF0956" w:rsidRPr="00970F48" w14:paraId="42397C16" w14:textId="77777777" w:rsidTr="00970F48">
        <w:tc>
          <w:tcPr>
            <w:tcW w:w="562" w:type="dxa"/>
            <w:shd w:val="clear" w:color="auto" w:fill="auto"/>
            <w:vAlign w:val="center"/>
          </w:tcPr>
          <w:p w14:paraId="4D8B10BD" w14:textId="77777777" w:rsidR="00FF0956" w:rsidRPr="00970F48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0F48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0DF800" w14:textId="77777777" w:rsidR="00FF0956" w:rsidRPr="00970F48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0F48">
              <w:rPr>
                <w:rFonts w:ascii="Arial" w:hAnsi="Arial"/>
                <w:color w:val="010000"/>
                <w:sz w:val="20"/>
              </w:rPr>
              <w:t xml:space="preserve">Full name 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11F013EF" w14:textId="77777777" w:rsidR="00FF0956" w:rsidRPr="00970F48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0F48">
              <w:rPr>
                <w:rFonts w:ascii="Arial" w:hAnsi="Arial"/>
                <w:color w:val="010000"/>
                <w:sz w:val="20"/>
              </w:rPr>
              <w:t>Position</w:t>
            </w:r>
          </w:p>
        </w:tc>
      </w:tr>
      <w:tr w:rsidR="00FF0956" w:rsidRPr="00970F48" w14:paraId="603D5637" w14:textId="77777777" w:rsidTr="00970F48">
        <w:tc>
          <w:tcPr>
            <w:tcW w:w="562" w:type="dxa"/>
            <w:shd w:val="clear" w:color="auto" w:fill="auto"/>
            <w:vAlign w:val="center"/>
          </w:tcPr>
          <w:p w14:paraId="325A1DAD" w14:textId="77777777" w:rsidR="00FF0956" w:rsidRPr="00970F48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0F48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314CD7" w14:textId="77777777" w:rsidR="00FF0956" w:rsidRPr="00970F48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0F48">
              <w:rPr>
                <w:rFonts w:ascii="Arial" w:hAnsi="Arial"/>
                <w:color w:val="010000"/>
                <w:sz w:val="20"/>
              </w:rPr>
              <w:t>Le Van Vu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6C5DA985" w14:textId="77777777" w:rsidR="00FF0956" w:rsidRPr="00970F48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0F48"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</w:tr>
      <w:tr w:rsidR="00FF0956" w:rsidRPr="00970F48" w14:paraId="7C0A9AC3" w14:textId="77777777" w:rsidTr="00970F48">
        <w:tc>
          <w:tcPr>
            <w:tcW w:w="562" w:type="dxa"/>
            <w:shd w:val="clear" w:color="auto" w:fill="auto"/>
            <w:vAlign w:val="center"/>
          </w:tcPr>
          <w:p w14:paraId="2C216269" w14:textId="77777777" w:rsidR="00FF0956" w:rsidRPr="00970F48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0F48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C9153D" w14:textId="77777777" w:rsidR="00FF0956" w:rsidRPr="00970F48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0F48">
              <w:rPr>
                <w:rFonts w:ascii="Arial" w:hAnsi="Arial"/>
                <w:color w:val="010000"/>
                <w:sz w:val="20"/>
              </w:rPr>
              <w:t>Huynh Thanh Hai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18407664" w14:textId="77777777" w:rsidR="00FF0956" w:rsidRPr="00970F48" w:rsidRDefault="0097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0F48"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</w:tr>
    </w:tbl>
    <w:p w14:paraId="3DE03323" w14:textId="3B38ABCC" w:rsidR="00FF0956" w:rsidRDefault="00970F48" w:rsidP="00224F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This General Mandate was fully approved by the General Meeting of </w:t>
      </w:r>
      <w:proofErr w:type="spellStart"/>
      <w:r>
        <w:rPr>
          <w:rFonts w:ascii="Arial" w:hAnsi="Arial"/>
          <w:color w:val="010000"/>
          <w:sz w:val="20"/>
        </w:rPr>
        <w:t>Bentre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r w:rsidR="00224F91">
        <w:rPr>
          <w:rFonts w:ascii="Arial" w:hAnsi="Arial"/>
          <w:color w:val="010000"/>
          <w:sz w:val="20"/>
        </w:rPr>
        <w:t>Urban Project Joint Stock Company</w:t>
      </w:r>
      <w:r>
        <w:rPr>
          <w:rFonts w:ascii="Arial" w:hAnsi="Arial"/>
          <w:color w:val="010000"/>
          <w:sz w:val="20"/>
        </w:rPr>
        <w:t xml:space="preserve">. The Board of Directors and </w:t>
      </w:r>
      <w:r w:rsidR="00224F91">
        <w:rPr>
          <w:rFonts w:ascii="Arial" w:hAnsi="Arial"/>
          <w:color w:val="010000"/>
          <w:sz w:val="20"/>
        </w:rPr>
        <w:t>Executive Board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are responsible for implementing this General Mandate. This General Mandate takes effect from the date of its signing.</w:t>
      </w:r>
    </w:p>
    <w:sectPr w:rsidR="00FF0956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33D8"/>
    <w:multiLevelType w:val="multilevel"/>
    <w:tmpl w:val="3F44956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C22546"/>
    <w:multiLevelType w:val="multilevel"/>
    <w:tmpl w:val="3F20250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19A5A55"/>
    <w:multiLevelType w:val="multilevel"/>
    <w:tmpl w:val="5E9E5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56"/>
    <w:rsid w:val="00017359"/>
    <w:rsid w:val="00224F91"/>
    <w:rsid w:val="00517D7F"/>
    <w:rsid w:val="00913301"/>
    <w:rsid w:val="00970F48"/>
    <w:rsid w:val="00A7548C"/>
    <w:rsid w:val="00D15613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0393"/>
  <w15:docId w15:val="{6E4B879C-B8A0-428F-85CC-00676635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68"/>
      <w:szCs w:val="6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B13C5F"/>
      <w:sz w:val="17"/>
      <w:szCs w:val="17"/>
      <w:u w:val="singl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B13C5F"/>
      <w:w w:val="70"/>
      <w:sz w:val="24"/>
      <w:szCs w:val="24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5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68"/>
      <w:szCs w:val="68"/>
    </w:rPr>
  </w:style>
  <w:style w:type="paragraph" w:customStyle="1" w:styleId="Vnbnnidung30">
    <w:name w:val="Văn bản nội dung (3)"/>
    <w:basedOn w:val="Normal"/>
    <w:link w:val="Vnbnnidung3"/>
    <w:pPr>
      <w:spacing w:line="259" w:lineRule="auto"/>
      <w:ind w:left="1080" w:hanging="10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sz w:val="14"/>
      <w:szCs w:val="14"/>
    </w:rPr>
  </w:style>
  <w:style w:type="paragraph" w:customStyle="1" w:styleId="Chthchbng0">
    <w:name w:val="Chú thích bảng"/>
    <w:basedOn w:val="Normal"/>
    <w:link w:val="Chthchbng"/>
    <w:pPr>
      <w:spacing w:line="30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95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color w:val="B13C5F"/>
      <w:sz w:val="17"/>
      <w:szCs w:val="17"/>
      <w:u w:val="single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B13C5F"/>
      <w:w w:val="70"/>
    </w:rPr>
  </w:style>
  <w:style w:type="table" w:styleId="TableGrid">
    <w:name w:val="Table Grid"/>
    <w:basedOn w:val="TableNormal"/>
    <w:uiPriority w:val="39"/>
    <w:rsid w:val="00ED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hU4Q2t0WrKGZx+NHN2S173Ae3g==">CgMxLjA4AHIhMUJsY2N2MVROWUU3Vm5QbmhBS3VRZDV5S2s2dDRGajh4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2024-07-04T04:15:00Z</dcterms:created>
  <dcterms:modified xsi:type="dcterms:W3CDTF">2024-07-04T04:15:00Z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59a57d50862563513cfd1f51c728f31c0544e931d704430c859f671ed0723bdb</vt:lpwstr>
  </property>
</Properties>
</file>