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00A4"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Pr>
          <w:rFonts w:ascii="Arial" w:hAnsi="Arial"/>
          <w:b/>
          <w:color w:val="010000"/>
          <w:sz w:val="20"/>
        </w:rPr>
        <w:t>DNE: Annual General Mandate 2024</w:t>
      </w:r>
    </w:p>
    <w:p w14:paraId="349B6A0C"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On June 27, 2024, Da Nang Urban Environment Joint Stock Company announced General Mandate No. 09/NQ-DHDCD as follows:</w:t>
      </w:r>
    </w:p>
    <w:p w14:paraId="4940195D"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1. Approve the Report on activities of the Board of Directors in 2023 and the operating orientation in 2024.</w:t>
      </w:r>
    </w:p>
    <w:p w14:paraId="3B19D7CE"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2. Approve the Report on activities of the Supervisory Board in 2023</w:t>
      </w:r>
    </w:p>
    <w:p w14:paraId="6978DD90"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3. Approve the Report on the production and business results in 2023 and the production and business plan 2024 with the following main targets:</w:t>
      </w:r>
    </w:p>
    <w:p w14:paraId="5CD8D472" w14:textId="77777777" w:rsidR="00141C8A" w:rsidRDefault="00DC6DB8">
      <w:pPr>
        <w:numPr>
          <w:ilvl w:val="0"/>
          <w:numId w:val="7"/>
        </w:numPr>
        <w:pBdr>
          <w:top w:val="nil"/>
          <w:left w:val="nil"/>
          <w:bottom w:val="nil"/>
          <w:right w:val="nil"/>
          <w:between w:val="nil"/>
        </w:pBdr>
        <w:tabs>
          <w:tab w:val="left" w:pos="432"/>
          <w:tab w:val="left" w:pos="889"/>
        </w:tabs>
        <w:spacing w:after="120" w:line="360" w:lineRule="auto"/>
        <w:rPr>
          <w:rFonts w:ascii="Arial" w:eastAsia="Arial" w:hAnsi="Arial" w:cs="Arial"/>
          <w:color w:val="010000"/>
          <w:sz w:val="20"/>
          <w:szCs w:val="20"/>
        </w:rPr>
      </w:pPr>
      <w:r>
        <w:rPr>
          <w:rFonts w:ascii="Arial" w:hAnsi="Arial"/>
          <w:color w:val="010000"/>
          <w:sz w:val="20"/>
        </w:rPr>
        <w:t>Production and business results in 2023:</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1877"/>
        <w:gridCol w:w="1333"/>
        <w:gridCol w:w="1369"/>
      </w:tblGrid>
      <w:tr w:rsidR="00141C8A" w14:paraId="70305887" w14:textId="77777777">
        <w:tc>
          <w:tcPr>
            <w:tcW w:w="4438" w:type="dxa"/>
            <w:shd w:val="clear" w:color="auto" w:fill="auto"/>
            <w:tcMar>
              <w:top w:w="0" w:type="dxa"/>
              <w:bottom w:w="0" w:type="dxa"/>
            </w:tcMar>
            <w:vAlign w:val="center"/>
          </w:tcPr>
          <w:p w14:paraId="055B1247"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Main target</w:t>
            </w:r>
          </w:p>
        </w:tc>
        <w:tc>
          <w:tcPr>
            <w:tcW w:w="1877" w:type="dxa"/>
            <w:shd w:val="clear" w:color="auto" w:fill="auto"/>
            <w:tcMar>
              <w:top w:w="0" w:type="dxa"/>
              <w:bottom w:w="0" w:type="dxa"/>
            </w:tcMar>
            <w:vAlign w:val="center"/>
          </w:tcPr>
          <w:p w14:paraId="11D8E0BF"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 2023</w:t>
            </w:r>
          </w:p>
        </w:tc>
        <w:tc>
          <w:tcPr>
            <w:tcW w:w="1333" w:type="dxa"/>
            <w:shd w:val="clear" w:color="auto" w:fill="auto"/>
            <w:tcMar>
              <w:top w:w="0" w:type="dxa"/>
              <w:bottom w:w="0" w:type="dxa"/>
            </w:tcMar>
            <w:vAlign w:val="center"/>
          </w:tcPr>
          <w:p w14:paraId="4832C6A5"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 in 2023</w:t>
            </w:r>
          </w:p>
        </w:tc>
        <w:tc>
          <w:tcPr>
            <w:tcW w:w="1369" w:type="dxa"/>
            <w:shd w:val="clear" w:color="auto" w:fill="auto"/>
            <w:tcMar>
              <w:top w:w="0" w:type="dxa"/>
              <w:bottom w:w="0" w:type="dxa"/>
            </w:tcMar>
            <w:vAlign w:val="center"/>
          </w:tcPr>
          <w:p w14:paraId="5EFB77D0"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Increase (+), Decrease (-)</w:t>
            </w:r>
          </w:p>
        </w:tc>
      </w:tr>
      <w:tr w:rsidR="00141C8A" w14:paraId="26F5603C" w14:textId="77777777">
        <w:tc>
          <w:tcPr>
            <w:tcW w:w="4438" w:type="dxa"/>
            <w:shd w:val="clear" w:color="auto" w:fill="auto"/>
            <w:tcMar>
              <w:top w:w="0" w:type="dxa"/>
              <w:bottom w:w="0" w:type="dxa"/>
            </w:tcMar>
            <w:vAlign w:val="center"/>
          </w:tcPr>
          <w:p w14:paraId="09C11773" w14:textId="77777777" w:rsidR="00141C8A" w:rsidRDefault="00DC6DB8">
            <w:pPr>
              <w:numPr>
                <w:ilvl w:val="0"/>
                <w:numId w:val="6"/>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Volume of garbage collected and processed (tons)</w:t>
            </w:r>
          </w:p>
        </w:tc>
        <w:tc>
          <w:tcPr>
            <w:tcW w:w="1877" w:type="dxa"/>
            <w:shd w:val="clear" w:color="auto" w:fill="auto"/>
            <w:tcMar>
              <w:top w:w="0" w:type="dxa"/>
              <w:bottom w:w="0" w:type="dxa"/>
            </w:tcMar>
            <w:vAlign w:val="center"/>
          </w:tcPr>
          <w:p w14:paraId="4FAD598A"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459,386</w:t>
            </w:r>
          </w:p>
        </w:tc>
        <w:tc>
          <w:tcPr>
            <w:tcW w:w="1333" w:type="dxa"/>
            <w:shd w:val="clear" w:color="auto" w:fill="auto"/>
            <w:tcMar>
              <w:top w:w="0" w:type="dxa"/>
              <w:bottom w:w="0" w:type="dxa"/>
            </w:tcMar>
            <w:vAlign w:val="center"/>
          </w:tcPr>
          <w:p w14:paraId="4850D6E7"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502,236</w:t>
            </w:r>
          </w:p>
        </w:tc>
        <w:tc>
          <w:tcPr>
            <w:tcW w:w="1369" w:type="dxa"/>
            <w:shd w:val="clear" w:color="auto" w:fill="auto"/>
            <w:tcMar>
              <w:top w:w="0" w:type="dxa"/>
              <w:bottom w:w="0" w:type="dxa"/>
            </w:tcMar>
            <w:vAlign w:val="center"/>
          </w:tcPr>
          <w:p w14:paraId="6051389A"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+9.327</w:t>
            </w:r>
          </w:p>
        </w:tc>
      </w:tr>
      <w:tr w:rsidR="00141C8A" w14:paraId="5A4D6E0F" w14:textId="77777777">
        <w:tc>
          <w:tcPr>
            <w:tcW w:w="4438" w:type="dxa"/>
            <w:shd w:val="clear" w:color="auto" w:fill="auto"/>
            <w:tcMar>
              <w:top w:w="0" w:type="dxa"/>
              <w:bottom w:w="0" w:type="dxa"/>
            </w:tcMar>
            <w:vAlign w:val="center"/>
          </w:tcPr>
          <w:p w14:paraId="2E79B40A" w14:textId="77777777" w:rsidR="00141C8A" w:rsidRDefault="00DC6DB8">
            <w:pPr>
              <w:numPr>
                <w:ilvl w:val="0"/>
                <w:numId w:val="6"/>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Finance realized</w:t>
            </w:r>
          </w:p>
        </w:tc>
        <w:tc>
          <w:tcPr>
            <w:tcW w:w="1877" w:type="dxa"/>
            <w:shd w:val="clear" w:color="auto" w:fill="auto"/>
            <w:tcMar>
              <w:top w:w="0" w:type="dxa"/>
              <w:bottom w:w="0" w:type="dxa"/>
            </w:tcMar>
            <w:vAlign w:val="center"/>
          </w:tcPr>
          <w:p w14:paraId="0DFCC019" w14:textId="77777777" w:rsidR="00141C8A" w:rsidRDefault="00141C8A">
            <w:pPr>
              <w:tabs>
                <w:tab w:val="left" w:pos="432"/>
              </w:tabs>
              <w:spacing w:after="120" w:line="360" w:lineRule="auto"/>
              <w:rPr>
                <w:rFonts w:ascii="Arial" w:eastAsia="Arial" w:hAnsi="Arial" w:cs="Arial"/>
                <w:color w:val="010000"/>
                <w:sz w:val="20"/>
                <w:szCs w:val="20"/>
              </w:rPr>
            </w:pPr>
          </w:p>
        </w:tc>
        <w:tc>
          <w:tcPr>
            <w:tcW w:w="1333" w:type="dxa"/>
            <w:shd w:val="clear" w:color="auto" w:fill="auto"/>
            <w:tcMar>
              <w:top w:w="0" w:type="dxa"/>
              <w:bottom w:w="0" w:type="dxa"/>
            </w:tcMar>
            <w:vAlign w:val="center"/>
          </w:tcPr>
          <w:p w14:paraId="3462381A" w14:textId="77777777" w:rsidR="00141C8A" w:rsidRDefault="00141C8A">
            <w:pPr>
              <w:tabs>
                <w:tab w:val="left" w:pos="432"/>
              </w:tabs>
              <w:spacing w:after="120" w:line="360" w:lineRule="auto"/>
              <w:rPr>
                <w:rFonts w:ascii="Arial" w:eastAsia="Arial" w:hAnsi="Arial" w:cs="Arial"/>
                <w:color w:val="010000"/>
                <w:sz w:val="20"/>
                <w:szCs w:val="20"/>
              </w:rPr>
            </w:pPr>
          </w:p>
        </w:tc>
        <w:tc>
          <w:tcPr>
            <w:tcW w:w="1369" w:type="dxa"/>
            <w:shd w:val="clear" w:color="auto" w:fill="auto"/>
            <w:tcMar>
              <w:top w:w="0" w:type="dxa"/>
              <w:bottom w:w="0" w:type="dxa"/>
            </w:tcMar>
            <w:vAlign w:val="center"/>
          </w:tcPr>
          <w:p w14:paraId="370F200D" w14:textId="77777777" w:rsidR="00141C8A" w:rsidRDefault="00141C8A">
            <w:pPr>
              <w:tabs>
                <w:tab w:val="left" w:pos="432"/>
              </w:tabs>
              <w:spacing w:after="120" w:line="360" w:lineRule="auto"/>
              <w:rPr>
                <w:rFonts w:ascii="Arial" w:eastAsia="Arial" w:hAnsi="Arial" w:cs="Arial"/>
                <w:color w:val="010000"/>
                <w:sz w:val="20"/>
                <w:szCs w:val="20"/>
              </w:rPr>
            </w:pPr>
          </w:p>
        </w:tc>
      </w:tr>
      <w:tr w:rsidR="00141C8A" w14:paraId="54A07072" w14:textId="77777777">
        <w:tc>
          <w:tcPr>
            <w:tcW w:w="4438" w:type="dxa"/>
            <w:shd w:val="clear" w:color="auto" w:fill="auto"/>
            <w:tcMar>
              <w:top w:w="0" w:type="dxa"/>
              <w:bottom w:w="0" w:type="dxa"/>
            </w:tcMar>
            <w:vAlign w:val="center"/>
          </w:tcPr>
          <w:p w14:paraId="67841F65" w14:textId="77777777" w:rsidR="00141C8A" w:rsidRDefault="00DC6DB8">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Revenue (billion VND)</w:t>
            </w:r>
          </w:p>
        </w:tc>
        <w:tc>
          <w:tcPr>
            <w:tcW w:w="1877" w:type="dxa"/>
            <w:shd w:val="clear" w:color="auto" w:fill="auto"/>
            <w:tcMar>
              <w:top w:w="0" w:type="dxa"/>
              <w:bottom w:w="0" w:type="dxa"/>
            </w:tcMar>
            <w:vAlign w:val="center"/>
          </w:tcPr>
          <w:p w14:paraId="52B55FC0"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257.097</w:t>
            </w:r>
          </w:p>
        </w:tc>
        <w:tc>
          <w:tcPr>
            <w:tcW w:w="1333" w:type="dxa"/>
            <w:shd w:val="clear" w:color="auto" w:fill="auto"/>
            <w:tcMar>
              <w:top w:w="0" w:type="dxa"/>
              <w:bottom w:w="0" w:type="dxa"/>
            </w:tcMar>
            <w:vAlign w:val="center"/>
          </w:tcPr>
          <w:p w14:paraId="13271E79"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262.795</w:t>
            </w:r>
          </w:p>
        </w:tc>
        <w:tc>
          <w:tcPr>
            <w:tcW w:w="1369" w:type="dxa"/>
            <w:shd w:val="clear" w:color="auto" w:fill="auto"/>
            <w:tcMar>
              <w:top w:w="0" w:type="dxa"/>
              <w:bottom w:w="0" w:type="dxa"/>
            </w:tcMar>
            <w:vAlign w:val="center"/>
          </w:tcPr>
          <w:p w14:paraId="5EC8B3A4"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+2.22%</w:t>
            </w:r>
          </w:p>
        </w:tc>
      </w:tr>
      <w:tr w:rsidR="00141C8A" w14:paraId="59F47605" w14:textId="77777777">
        <w:tc>
          <w:tcPr>
            <w:tcW w:w="4438" w:type="dxa"/>
            <w:shd w:val="clear" w:color="auto" w:fill="auto"/>
            <w:tcMar>
              <w:top w:w="0" w:type="dxa"/>
              <w:bottom w:w="0" w:type="dxa"/>
            </w:tcMar>
            <w:vAlign w:val="center"/>
          </w:tcPr>
          <w:p w14:paraId="2A06A566" w14:textId="77777777" w:rsidR="00141C8A" w:rsidRDefault="00DC6DB8">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Profit before tax (billion VND)</w:t>
            </w:r>
          </w:p>
        </w:tc>
        <w:tc>
          <w:tcPr>
            <w:tcW w:w="1877" w:type="dxa"/>
            <w:shd w:val="clear" w:color="auto" w:fill="auto"/>
            <w:tcMar>
              <w:top w:w="0" w:type="dxa"/>
              <w:bottom w:w="0" w:type="dxa"/>
            </w:tcMar>
            <w:vAlign w:val="center"/>
          </w:tcPr>
          <w:p w14:paraId="5C0407AE"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6.966</w:t>
            </w:r>
          </w:p>
        </w:tc>
        <w:tc>
          <w:tcPr>
            <w:tcW w:w="1333" w:type="dxa"/>
            <w:shd w:val="clear" w:color="auto" w:fill="auto"/>
            <w:tcMar>
              <w:top w:w="0" w:type="dxa"/>
              <w:bottom w:w="0" w:type="dxa"/>
            </w:tcMar>
            <w:vAlign w:val="center"/>
          </w:tcPr>
          <w:p w14:paraId="21A77EF2"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6.869</w:t>
            </w:r>
          </w:p>
        </w:tc>
        <w:tc>
          <w:tcPr>
            <w:tcW w:w="1369" w:type="dxa"/>
            <w:shd w:val="clear" w:color="auto" w:fill="auto"/>
            <w:tcMar>
              <w:top w:w="0" w:type="dxa"/>
              <w:bottom w:w="0" w:type="dxa"/>
            </w:tcMar>
            <w:vAlign w:val="center"/>
          </w:tcPr>
          <w:p w14:paraId="31BDD07F"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-1.39%</w:t>
            </w:r>
          </w:p>
        </w:tc>
      </w:tr>
      <w:tr w:rsidR="00141C8A" w14:paraId="5FDB2E79" w14:textId="77777777">
        <w:tc>
          <w:tcPr>
            <w:tcW w:w="4438" w:type="dxa"/>
            <w:shd w:val="clear" w:color="auto" w:fill="auto"/>
            <w:tcMar>
              <w:top w:w="0" w:type="dxa"/>
              <w:bottom w:w="0" w:type="dxa"/>
            </w:tcMar>
            <w:vAlign w:val="center"/>
          </w:tcPr>
          <w:p w14:paraId="12608E83" w14:textId="77777777" w:rsidR="00141C8A" w:rsidRDefault="00DC6DB8">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Dividend payment/Charter capital (%)</w:t>
            </w:r>
          </w:p>
        </w:tc>
        <w:tc>
          <w:tcPr>
            <w:tcW w:w="1877" w:type="dxa"/>
            <w:shd w:val="clear" w:color="auto" w:fill="auto"/>
            <w:tcMar>
              <w:top w:w="0" w:type="dxa"/>
              <w:bottom w:w="0" w:type="dxa"/>
            </w:tcMar>
            <w:vAlign w:val="center"/>
          </w:tcPr>
          <w:p w14:paraId="1D47F243"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 (expected)</w:t>
            </w:r>
          </w:p>
        </w:tc>
        <w:tc>
          <w:tcPr>
            <w:tcW w:w="1333" w:type="dxa"/>
            <w:shd w:val="clear" w:color="auto" w:fill="auto"/>
            <w:tcMar>
              <w:top w:w="0" w:type="dxa"/>
              <w:bottom w:w="0" w:type="dxa"/>
            </w:tcMar>
            <w:vAlign w:val="center"/>
          </w:tcPr>
          <w:p w14:paraId="6C25B06E"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 (expected)</w:t>
            </w:r>
          </w:p>
        </w:tc>
        <w:tc>
          <w:tcPr>
            <w:tcW w:w="1369" w:type="dxa"/>
            <w:shd w:val="clear" w:color="auto" w:fill="auto"/>
            <w:tcMar>
              <w:top w:w="0" w:type="dxa"/>
              <w:bottom w:w="0" w:type="dxa"/>
            </w:tcMar>
            <w:vAlign w:val="center"/>
          </w:tcPr>
          <w:p w14:paraId="7CEE5FB9"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w:t>
            </w:r>
          </w:p>
        </w:tc>
      </w:tr>
      <w:tr w:rsidR="00141C8A" w14:paraId="406518DB" w14:textId="77777777">
        <w:tc>
          <w:tcPr>
            <w:tcW w:w="4438" w:type="dxa"/>
            <w:shd w:val="clear" w:color="auto" w:fill="auto"/>
            <w:tcMar>
              <w:top w:w="0" w:type="dxa"/>
              <w:bottom w:w="0" w:type="dxa"/>
            </w:tcMar>
            <w:vAlign w:val="center"/>
          </w:tcPr>
          <w:p w14:paraId="7692B1F1" w14:textId="77777777" w:rsidR="00141C8A" w:rsidRDefault="00DC6DB8">
            <w:pPr>
              <w:numPr>
                <w:ilvl w:val="0"/>
                <w:numId w:val="4"/>
              </w:numPr>
              <w:pBdr>
                <w:top w:val="nil"/>
                <w:left w:val="nil"/>
                <w:bottom w:val="nil"/>
                <w:right w:val="nil"/>
                <w:between w:val="nil"/>
              </w:pBdr>
              <w:tabs>
                <w:tab w:val="left" w:pos="432"/>
                <w:tab w:val="left" w:pos="3854"/>
              </w:tabs>
              <w:spacing w:after="120" w:line="360" w:lineRule="auto"/>
              <w:ind w:left="0" w:firstLine="0"/>
              <w:rPr>
                <w:rFonts w:ascii="Arial" w:eastAsia="Arial" w:hAnsi="Arial" w:cs="Arial"/>
                <w:color w:val="010000"/>
                <w:sz w:val="20"/>
                <w:szCs w:val="20"/>
              </w:rPr>
            </w:pPr>
            <w:r>
              <w:rPr>
                <w:rFonts w:ascii="Arial" w:hAnsi="Arial"/>
                <w:color w:val="010000"/>
                <w:sz w:val="20"/>
              </w:rPr>
              <w:t>Estimated average income of employees (million VND/person/month)</w:t>
            </w:r>
          </w:p>
        </w:tc>
        <w:tc>
          <w:tcPr>
            <w:tcW w:w="1877" w:type="dxa"/>
            <w:shd w:val="clear" w:color="auto" w:fill="auto"/>
            <w:tcMar>
              <w:top w:w="0" w:type="dxa"/>
              <w:bottom w:w="0" w:type="dxa"/>
            </w:tcMar>
            <w:vAlign w:val="center"/>
          </w:tcPr>
          <w:p w14:paraId="74C17085"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8.0</w:t>
            </w:r>
          </w:p>
        </w:tc>
        <w:tc>
          <w:tcPr>
            <w:tcW w:w="1333" w:type="dxa"/>
            <w:shd w:val="clear" w:color="auto" w:fill="auto"/>
            <w:tcMar>
              <w:top w:w="0" w:type="dxa"/>
              <w:bottom w:w="0" w:type="dxa"/>
            </w:tcMar>
            <w:vAlign w:val="center"/>
          </w:tcPr>
          <w:p w14:paraId="3C0695D4"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8.2</w:t>
            </w:r>
          </w:p>
        </w:tc>
        <w:tc>
          <w:tcPr>
            <w:tcW w:w="1369" w:type="dxa"/>
            <w:shd w:val="clear" w:color="auto" w:fill="auto"/>
            <w:tcMar>
              <w:top w:w="0" w:type="dxa"/>
              <w:bottom w:w="0" w:type="dxa"/>
            </w:tcMar>
            <w:vAlign w:val="center"/>
          </w:tcPr>
          <w:p w14:paraId="63AEB510"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+2.5%</w:t>
            </w:r>
          </w:p>
        </w:tc>
      </w:tr>
    </w:tbl>
    <w:p w14:paraId="01774E92" w14:textId="77777777" w:rsidR="00141C8A" w:rsidRDefault="00DC6DB8">
      <w:pPr>
        <w:numPr>
          <w:ilvl w:val="0"/>
          <w:numId w:val="7"/>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Production and business plan 2024:</w:t>
      </w:r>
    </w:p>
    <w:p w14:paraId="590DF5AE" w14:textId="77777777" w:rsidR="00141C8A" w:rsidRDefault="00DC6DB8">
      <w:pPr>
        <w:numPr>
          <w:ilvl w:val="0"/>
          <w:numId w:val="8"/>
        </w:numPr>
        <w:pBdr>
          <w:top w:val="nil"/>
          <w:left w:val="nil"/>
          <w:bottom w:val="nil"/>
          <w:right w:val="nil"/>
          <w:between w:val="nil"/>
        </w:pBdr>
        <w:tabs>
          <w:tab w:val="left" w:pos="432"/>
          <w:tab w:val="left" w:pos="1129"/>
        </w:tabs>
        <w:spacing w:after="120" w:line="360" w:lineRule="auto"/>
        <w:rPr>
          <w:rFonts w:ascii="Arial" w:eastAsia="Arial" w:hAnsi="Arial" w:cs="Arial"/>
          <w:color w:val="010000"/>
          <w:sz w:val="20"/>
          <w:szCs w:val="20"/>
        </w:rPr>
      </w:pPr>
      <w:r>
        <w:rPr>
          <w:rFonts w:ascii="Arial" w:hAnsi="Arial"/>
          <w:color w:val="010000"/>
          <w:sz w:val="20"/>
        </w:rPr>
        <w:t>Regarding production and financial targets</w:t>
      </w:r>
    </w:p>
    <w:p w14:paraId="0796E85C" w14:textId="77777777" w:rsidR="00141C8A" w:rsidRDefault="00DC6DB8">
      <w:pPr>
        <w:numPr>
          <w:ilvl w:val="0"/>
          <w:numId w:val="9"/>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volume of waste processed in 2024 is expected to be 529,793 tons/year (increased compared to the results in 2023 of 27,557 tons/year).</w:t>
      </w:r>
    </w:p>
    <w:p w14:paraId="435CCFB0" w14:textId="77777777" w:rsidR="00141C8A" w:rsidRDefault="00DC6DB8">
      <w:pPr>
        <w:numPr>
          <w:ilvl w:val="0"/>
          <w:numId w:val="9"/>
        </w:numPr>
        <w:pBdr>
          <w:top w:val="nil"/>
          <w:left w:val="nil"/>
          <w:bottom w:val="nil"/>
          <w:right w:val="nil"/>
          <w:between w:val="nil"/>
        </w:pBdr>
        <w:tabs>
          <w:tab w:val="left" w:pos="432"/>
          <w:tab w:val="left" w:pos="830"/>
        </w:tabs>
        <w:spacing w:after="120" w:line="360" w:lineRule="auto"/>
        <w:rPr>
          <w:rFonts w:ascii="Arial" w:eastAsia="Arial" w:hAnsi="Arial" w:cs="Arial"/>
          <w:color w:val="010000"/>
          <w:sz w:val="20"/>
          <w:szCs w:val="20"/>
        </w:rPr>
      </w:pPr>
      <w:r>
        <w:rPr>
          <w:rFonts w:ascii="Arial" w:hAnsi="Arial"/>
          <w:color w:val="010000"/>
          <w:sz w:val="20"/>
        </w:rPr>
        <w:t>Ensure the quantity and quality of urban environmental sanitation; beach; Collect, transport and treat common domestic and industrial waste and solid waste treatment at Khanh Son Beach according to contracts signed with investors.</w:t>
      </w:r>
    </w:p>
    <w:p w14:paraId="5A986A9A" w14:textId="77777777" w:rsidR="00141C8A" w:rsidRDefault="00DC6DB8">
      <w:pPr>
        <w:numPr>
          <w:ilvl w:val="0"/>
          <w:numId w:val="8"/>
        </w:numPr>
        <w:pBdr>
          <w:top w:val="nil"/>
          <w:left w:val="nil"/>
          <w:bottom w:val="nil"/>
          <w:right w:val="nil"/>
          <w:between w:val="nil"/>
        </w:pBdr>
        <w:tabs>
          <w:tab w:val="left" w:pos="432"/>
          <w:tab w:val="left" w:pos="1252"/>
        </w:tabs>
        <w:spacing w:after="120" w:line="360" w:lineRule="auto"/>
        <w:rPr>
          <w:rFonts w:ascii="Arial" w:eastAsia="Arial" w:hAnsi="Arial" w:cs="Arial"/>
          <w:color w:val="010000"/>
          <w:sz w:val="20"/>
          <w:szCs w:val="20"/>
        </w:rPr>
      </w:pPr>
      <w:r>
        <w:rPr>
          <w:rFonts w:ascii="Arial" w:hAnsi="Arial"/>
          <w:color w:val="010000"/>
          <w:sz w:val="20"/>
        </w:rPr>
        <w:t>Business financial targets in 2024:</w:t>
      </w:r>
    </w:p>
    <w:p w14:paraId="243E83B8" w14:textId="77777777" w:rsidR="00141C8A" w:rsidRDefault="00DC6DB8">
      <w:pPr>
        <w:numPr>
          <w:ilvl w:val="0"/>
          <w:numId w:val="9"/>
        </w:numPr>
        <w:pBdr>
          <w:top w:val="nil"/>
          <w:left w:val="nil"/>
          <w:bottom w:val="nil"/>
          <w:right w:val="nil"/>
          <w:between w:val="nil"/>
        </w:pBdr>
        <w:tabs>
          <w:tab w:val="left" w:pos="432"/>
          <w:tab w:val="left" w:pos="932"/>
        </w:tabs>
        <w:spacing w:after="120" w:line="360" w:lineRule="auto"/>
        <w:rPr>
          <w:rFonts w:ascii="Arial" w:eastAsia="Arial" w:hAnsi="Arial" w:cs="Arial"/>
          <w:color w:val="010000"/>
          <w:sz w:val="20"/>
          <w:szCs w:val="20"/>
        </w:rPr>
      </w:pPr>
      <w:r>
        <w:rPr>
          <w:rFonts w:ascii="Arial" w:hAnsi="Arial"/>
          <w:color w:val="010000"/>
          <w:sz w:val="20"/>
        </w:rPr>
        <w:t>Total minimum revenue: VND271,265 million. In which:</w:t>
      </w:r>
    </w:p>
    <w:p w14:paraId="0D4FE14B" w14:textId="77777777" w:rsidR="00141C8A" w:rsidRDefault="00DC6DB8">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 xml:space="preserve">Revenue from environmental sanitation service packages for urban and beach areas, market cleaning, landfill funding in 2022, and waste treatment at Khanh Son landfill: VND132,924 </w:t>
      </w:r>
      <w:proofErr w:type="gramStart"/>
      <w:r>
        <w:rPr>
          <w:rFonts w:ascii="Arial" w:hAnsi="Arial"/>
          <w:color w:val="010000"/>
          <w:sz w:val="20"/>
        </w:rPr>
        <w:t>million;</w:t>
      </w:r>
      <w:proofErr w:type="gramEnd"/>
    </w:p>
    <w:p w14:paraId="4C82BD9B" w14:textId="77777777" w:rsidR="00141C8A" w:rsidRDefault="00DC6DB8">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 xml:space="preserve">Revenue from service prices for collecting and transporting household waste: VND98,496 </w:t>
      </w:r>
      <w:proofErr w:type="gramStart"/>
      <w:r>
        <w:rPr>
          <w:rFonts w:ascii="Arial" w:hAnsi="Arial"/>
          <w:color w:val="010000"/>
          <w:sz w:val="20"/>
        </w:rPr>
        <w:t>million;</w:t>
      </w:r>
      <w:proofErr w:type="gramEnd"/>
    </w:p>
    <w:p w14:paraId="4EB0C876" w14:textId="77777777" w:rsidR="00141C8A" w:rsidRDefault="00DC6DB8">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 xml:space="preserve">Revenue from environmental services: VND38,744 </w:t>
      </w:r>
      <w:proofErr w:type="gramStart"/>
      <w:r>
        <w:rPr>
          <w:rFonts w:ascii="Arial" w:hAnsi="Arial"/>
          <w:color w:val="010000"/>
          <w:sz w:val="20"/>
        </w:rPr>
        <w:t>million;</w:t>
      </w:r>
      <w:proofErr w:type="gramEnd"/>
    </w:p>
    <w:p w14:paraId="6F0738F2" w14:textId="77777777" w:rsidR="00141C8A" w:rsidRDefault="00DC6DB8">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lastRenderedPageBreak/>
        <w:t xml:space="preserve">Revenue from financial activities and other revenues: VND1,100 </w:t>
      </w:r>
      <w:proofErr w:type="gramStart"/>
      <w:r>
        <w:rPr>
          <w:rFonts w:ascii="Arial" w:hAnsi="Arial"/>
          <w:color w:val="010000"/>
          <w:sz w:val="20"/>
        </w:rPr>
        <w:t>million;</w:t>
      </w:r>
      <w:proofErr w:type="gramEnd"/>
    </w:p>
    <w:p w14:paraId="03209334" w14:textId="77777777" w:rsidR="00141C8A" w:rsidRDefault="00DC6DB8">
      <w:pPr>
        <w:numPr>
          <w:ilvl w:val="0"/>
          <w:numId w:val="9"/>
        </w:numPr>
        <w:pBdr>
          <w:top w:val="nil"/>
          <w:left w:val="nil"/>
          <w:bottom w:val="nil"/>
          <w:right w:val="nil"/>
          <w:between w:val="nil"/>
        </w:pBdr>
        <w:tabs>
          <w:tab w:val="left" w:pos="432"/>
          <w:tab w:val="left" w:pos="912"/>
        </w:tabs>
        <w:spacing w:after="120" w:line="360" w:lineRule="auto"/>
        <w:rPr>
          <w:rFonts w:ascii="Arial" w:eastAsia="Arial" w:hAnsi="Arial" w:cs="Arial"/>
          <w:color w:val="010000"/>
          <w:sz w:val="20"/>
          <w:szCs w:val="20"/>
        </w:rPr>
      </w:pPr>
      <w:r>
        <w:rPr>
          <w:rFonts w:ascii="Arial" w:hAnsi="Arial"/>
          <w:color w:val="010000"/>
          <w:sz w:val="20"/>
        </w:rPr>
        <w:t xml:space="preserve">Total expenses: VND263,734 </w:t>
      </w:r>
      <w:proofErr w:type="gramStart"/>
      <w:r>
        <w:rPr>
          <w:rFonts w:ascii="Arial" w:hAnsi="Arial"/>
          <w:color w:val="010000"/>
          <w:sz w:val="20"/>
        </w:rPr>
        <w:t>million;</w:t>
      </w:r>
      <w:proofErr w:type="gramEnd"/>
    </w:p>
    <w:p w14:paraId="13BBEBF7" w14:textId="77777777" w:rsidR="00141C8A" w:rsidRDefault="00DC6DB8">
      <w:pPr>
        <w:numPr>
          <w:ilvl w:val="0"/>
          <w:numId w:val="9"/>
        </w:numPr>
        <w:pBdr>
          <w:top w:val="nil"/>
          <w:left w:val="nil"/>
          <w:bottom w:val="nil"/>
          <w:right w:val="nil"/>
          <w:between w:val="nil"/>
        </w:pBdr>
        <w:tabs>
          <w:tab w:val="left" w:pos="432"/>
          <w:tab w:val="left" w:pos="912"/>
        </w:tabs>
        <w:spacing w:after="120" w:line="360" w:lineRule="auto"/>
        <w:rPr>
          <w:rFonts w:ascii="Arial" w:eastAsia="Arial" w:hAnsi="Arial" w:cs="Arial"/>
          <w:color w:val="010000"/>
          <w:sz w:val="20"/>
          <w:szCs w:val="20"/>
        </w:rPr>
      </w:pPr>
      <w:r>
        <w:rPr>
          <w:rFonts w:ascii="Arial" w:hAnsi="Arial"/>
          <w:color w:val="010000"/>
          <w:sz w:val="20"/>
        </w:rPr>
        <w:t xml:space="preserve">Minimum profit before tax: VND7,531 </w:t>
      </w:r>
      <w:proofErr w:type="gramStart"/>
      <w:r>
        <w:rPr>
          <w:rFonts w:ascii="Arial" w:hAnsi="Arial"/>
          <w:color w:val="010000"/>
          <w:sz w:val="20"/>
        </w:rPr>
        <w:t>million;</w:t>
      </w:r>
      <w:proofErr w:type="gramEnd"/>
    </w:p>
    <w:p w14:paraId="2B580D72" w14:textId="77777777" w:rsidR="00141C8A" w:rsidRDefault="00DC6DB8">
      <w:pPr>
        <w:numPr>
          <w:ilvl w:val="0"/>
          <w:numId w:val="9"/>
        </w:numPr>
        <w:pBdr>
          <w:top w:val="nil"/>
          <w:left w:val="nil"/>
          <w:bottom w:val="nil"/>
          <w:right w:val="nil"/>
          <w:between w:val="nil"/>
        </w:pBdr>
        <w:tabs>
          <w:tab w:val="left" w:pos="432"/>
          <w:tab w:val="left" w:pos="916"/>
        </w:tabs>
        <w:spacing w:after="120" w:line="360" w:lineRule="auto"/>
        <w:rPr>
          <w:rFonts w:ascii="Arial" w:eastAsia="Arial" w:hAnsi="Arial" w:cs="Arial"/>
          <w:color w:val="010000"/>
          <w:sz w:val="20"/>
          <w:szCs w:val="20"/>
        </w:rPr>
      </w:pPr>
      <w:r>
        <w:rPr>
          <w:rFonts w:ascii="Arial" w:hAnsi="Arial"/>
          <w:color w:val="010000"/>
          <w:sz w:val="20"/>
        </w:rPr>
        <w:t>Minimum dividend payment rate: 5%.</w:t>
      </w:r>
    </w:p>
    <w:p w14:paraId="6C08870F" w14:textId="77777777" w:rsidR="00141C8A" w:rsidRDefault="00DC6DB8">
      <w:pPr>
        <w:numPr>
          <w:ilvl w:val="0"/>
          <w:numId w:val="8"/>
        </w:numPr>
        <w:pBdr>
          <w:top w:val="nil"/>
          <w:left w:val="nil"/>
          <w:bottom w:val="nil"/>
          <w:right w:val="nil"/>
          <w:between w:val="nil"/>
        </w:pBdr>
        <w:tabs>
          <w:tab w:val="left" w:pos="432"/>
          <w:tab w:val="left" w:pos="1236"/>
        </w:tabs>
        <w:spacing w:after="120" w:line="360" w:lineRule="auto"/>
        <w:rPr>
          <w:rFonts w:ascii="Arial" w:eastAsia="Arial" w:hAnsi="Arial" w:cs="Arial"/>
          <w:color w:val="010000"/>
          <w:sz w:val="20"/>
          <w:szCs w:val="20"/>
        </w:rPr>
      </w:pPr>
      <w:r>
        <w:rPr>
          <w:rFonts w:ascii="Arial" w:hAnsi="Arial"/>
          <w:color w:val="010000"/>
          <w:sz w:val="20"/>
        </w:rPr>
        <w:t>Projects on investment and procurement of assets and vehicles</w:t>
      </w:r>
    </w:p>
    <w:p w14:paraId="1E323094" w14:textId="77777777" w:rsidR="00141C8A" w:rsidRDefault="00DC6DB8">
      <w:pPr>
        <w:numPr>
          <w:ilvl w:val="0"/>
          <w:numId w:val="9"/>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Pr>
          <w:rFonts w:ascii="Arial" w:hAnsi="Arial"/>
          <w:color w:val="010000"/>
          <w:sz w:val="20"/>
        </w:rPr>
        <w:t>Invest in additional equipment to complete phase 1 of the Centralized Production Operations Center.</w:t>
      </w:r>
    </w:p>
    <w:p w14:paraId="067E676D" w14:textId="77777777" w:rsidR="00141C8A" w:rsidRDefault="00DC6DB8">
      <w:pPr>
        <w:numPr>
          <w:ilvl w:val="0"/>
          <w:numId w:val="9"/>
        </w:numPr>
        <w:pBdr>
          <w:top w:val="nil"/>
          <w:left w:val="nil"/>
          <w:bottom w:val="nil"/>
          <w:right w:val="nil"/>
          <w:between w:val="nil"/>
        </w:pBdr>
        <w:tabs>
          <w:tab w:val="left" w:pos="432"/>
          <w:tab w:val="left" w:pos="830"/>
        </w:tabs>
        <w:spacing w:after="120" w:line="360" w:lineRule="auto"/>
        <w:rPr>
          <w:rFonts w:ascii="Arial" w:eastAsia="Arial" w:hAnsi="Arial" w:cs="Arial"/>
          <w:color w:val="010000"/>
          <w:sz w:val="20"/>
          <w:szCs w:val="20"/>
        </w:rPr>
      </w:pPr>
      <w:r>
        <w:rPr>
          <w:rFonts w:ascii="Arial" w:hAnsi="Arial"/>
          <w:color w:val="010000"/>
          <w:sz w:val="20"/>
        </w:rPr>
        <w:t>Invest in 01 bulldozer to serve leveling at Khanh Son landfill to replace old, degraded and damaged vehicles.</w:t>
      </w:r>
    </w:p>
    <w:p w14:paraId="3A5262EA" w14:textId="77777777" w:rsidR="00141C8A" w:rsidRDefault="00DC6DB8">
      <w:pPr>
        <w:numPr>
          <w:ilvl w:val="0"/>
          <w:numId w:val="9"/>
        </w:numPr>
        <w:pBdr>
          <w:top w:val="nil"/>
          <w:left w:val="nil"/>
          <w:bottom w:val="nil"/>
          <w:right w:val="nil"/>
          <w:between w:val="nil"/>
        </w:pBdr>
        <w:tabs>
          <w:tab w:val="left" w:pos="432"/>
          <w:tab w:val="left" w:pos="844"/>
        </w:tabs>
        <w:spacing w:after="120" w:line="360" w:lineRule="auto"/>
        <w:rPr>
          <w:rFonts w:ascii="Arial" w:eastAsia="Arial" w:hAnsi="Arial" w:cs="Arial"/>
          <w:color w:val="010000"/>
          <w:sz w:val="20"/>
          <w:szCs w:val="20"/>
        </w:rPr>
      </w:pPr>
      <w:r>
        <w:rPr>
          <w:rFonts w:ascii="Arial" w:hAnsi="Arial"/>
          <w:color w:val="010000"/>
          <w:sz w:val="20"/>
        </w:rPr>
        <w:t>Invest in 6-7 4m3 (1.5 ton) trash compactors with bins and lids and 7m3 (3 tons) bins and lids to serve mechanization in Ngu Hanh Son and Cam Le districts.</w:t>
      </w:r>
    </w:p>
    <w:p w14:paraId="05A98C32"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4. Approve the Financial Statements 2023 audited by AAC Auditing and Accounting Company Limited.</w:t>
      </w:r>
    </w:p>
    <w:p w14:paraId="5473FDD4"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5. Approve the main contents of the General Meeting of Shareholders 2024, as follows:</w:t>
      </w:r>
    </w:p>
    <w:p w14:paraId="00DD998B" w14:textId="77777777" w:rsidR="00141C8A" w:rsidRDefault="00DC6DB8">
      <w:pPr>
        <w:numPr>
          <w:ilvl w:val="0"/>
          <w:numId w:val="1"/>
        </w:numPr>
        <w:pBdr>
          <w:top w:val="nil"/>
          <w:left w:val="nil"/>
          <w:bottom w:val="nil"/>
          <w:right w:val="nil"/>
          <w:between w:val="nil"/>
        </w:pBdr>
        <w:tabs>
          <w:tab w:val="left" w:pos="432"/>
          <w:tab w:val="left" w:pos="988"/>
        </w:tabs>
        <w:spacing w:after="120" w:line="360" w:lineRule="auto"/>
        <w:rPr>
          <w:rFonts w:ascii="Arial" w:eastAsia="Arial" w:hAnsi="Arial" w:cs="Arial"/>
          <w:color w:val="010000"/>
          <w:sz w:val="20"/>
          <w:szCs w:val="20"/>
        </w:rPr>
      </w:pPr>
      <w:r>
        <w:rPr>
          <w:rFonts w:ascii="Arial" w:hAnsi="Arial"/>
          <w:color w:val="010000"/>
          <w:sz w:val="20"/>
        </w:rPr>
        <w:t>Appropriation for funds, profit distribution, and dividend payment in 2023</w:t>
      </w:r>
    </w:p>
    <w:p w14:paraId="50580FB5"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 VND5,719,042,219, allocated as follows:</w:t>
      </w:r>
    </w:p>
    <w:p w14:paraId="5D5F8505" w14:textId="77777777" w:rsidR="00141C8A" w:rsidRDefault="00DC6DB8">
      <w:pPr>
        <w:numPr>
          <w:ilvl w:val="0"/>
          <w:numId w:val="9"/>
        </w:numPr>
        <w:pBdr>
          <w:top w:val="nil"/>
          <w:left w:val="nil"/>
          <w:bottom w:val="nil"/>
          <w:right w:val="nil"/>
          <w:between w:val="nil"/>
        </w:pBdr>
        <w:tabs>
          <w:tab w:val="left" w:pos="432"/>
          <w:tab w:val="left" w:pos="830"/>
        </w:tabs>
        <w:spacing w:after="120" w:line="360" w:lineRule="auto"/>
        <w:rPr>
          <w:rFonts w:ascii="Arial" w:eastAsia="Arial" w:hAnsi="Arial" w:cs="Arial"/>
          <w:color w:val="010000"/>
          <w:sz w:val="20"/>
          <w:szCs w:val="20"/>
        </w:rPr>
      </w:pPr>
      <w:r>
        <w:rPr>
          <w:rFonts w:ascii="Arial" w:hAnsi="Arial"/>
          <w:color w:val="010000"/>
          <w:sz w:val="20"/>
        </w:rPr>
        <w:t>Compensate for negative profit after tax due to data adjustment from the Q4/2015 to 2018: VND150,</w:t>
      </w:r>
      <w:proofErr w:type="gramStart"/>
      <w:r>
        <w:rPr>
          <w:rFonts w:ascii="Arial" w:hAnsi="Arial"/>
          <w:color w:val="010000"/>
          <w:sz w:val="20"/>
        </w:rPr>
        <w:t>000,000;</w:t>
      </w:r>
      <w:proofErr w:type="gramEnd"/>
    </w:p>
    <w:p w14:paraId="347EF632" w14:textId="77777777" w:rsidR="00141C8A" w:rsidRDefault="00DC6DB8">
      <w:pPr>
        <w:numPr>
          <w:ilvl w:val="0"/>
          <w:numId w:val="9"/>
        </w:numPr>
        <w:pBdr>
          <w:top w:val="nil"/>
          <w:left w:val="nil"/>
          <w:bottom w:val="nil"/>
          <w:right w:val="nil"/>
          <w:between w:val="nil"/>
        </w:pBdr>
        <w:tabs>
          <w:tab w:val="left" w:pos="432"/>
          <w:tab w:val="left" w:pos="916"/>
        </w:tabs>
        <w:spacing w:after="120" w:line="360" w:lineRule="auto"/>
        <w:rPr>
          <w:rFonts w:ascii="Arial" w:eastAsia="Arial" w:hAnsi="Arial" w:cs="Arial"/>
          <w:color w:val="010000"/>
          <w:sz w:val="20"/>
          <w:szCs w:val="20"/>
        </w:rPr>
      </w:pPr>
      <w:r>
        <w:rPr>
          <w:rFonts w:ascii="Arial" w:hAnsi="Arial"/>
          <w:color w:val="010000"/>
          <w:sz w:val="20"/>
        </w:rPr>
        <w:t>Appropriation for investment and development fund: VND1,</w:t>
      </w:r>
      <w:proofErr w:type="gramStart"/>
      <w:r>
        <w:rPr>
          <w:rFonts w:ascii="Arial" w:hAnsi="Arial"/>
          <w:color w:val="010000"/>
          <w:sz w:val="20"/>
        </w:rPr>
        <w:t>113,808,444;</w:t>
      </w:r>
      <w:proofErr w:type="gramEnd"/>
    </w:p>
    <w:p w14:paraId="05B7ACCA" w14:textId="77777777" w:rsidR="00141C8A" w:rsidRDefault="00DC6DB8">
      <w:pPr>
        <w:numPr>
          <w:ilvl w:val="0"/>
          <w:numId w:val="9"/>
        </w:numPr>
        <w:pBdr>
          <w:top w:val="nil"/>
          <w:left w:val="nil"/>
          <w:bottom w:val="nil"/>
          <w:right w:val="nil"/>
          <w:between w:val="nil"/>
        </w:pBdr>
        <w:tabs>
          <w:tab w:val="left" w:pos="432"/>
          <w:tab w:val="left" w:pos="916"/>
        </w:tabs>
        <w:spacing w:after="120" w:line="360" w:lineRule="auto"/>
        <w:rPr>
          <w:rFonts w:ascii="Arial" w:eastAsia="Arial" w:hAnsi="Arial" w:cs="Arial"/>
          <w:color w:val="010000"/>
          <w:sz w:val="20"/>
          <w:szCs w:val="20"/>
        </w:rPr>
      </w:pPr>
      <w:r>
        <w:rPr>
          <w:rFonts w:ascii="Arial" w:hAnsi="Arial"/>
          <w:color w:val="010000"/>
          <w:sz w:val="20"/>
        </w:rPr>
        <w:t>Appropriation for bonus and welfare fund: VND1,</w:t>
      </w:r>
      <w:proofErr w:type="gramStart"/>
      <w:r>
        <w:rPr>
          <w:rFonts w:ascii="Arial" w:hAnsi="Arial"/>
          <w:color w:val="010000"/>
          <w:sz w:val="20"/>
        </w:rPr>
        <w:t>461,344,275;</w:t>
      </w:r>
      <w:proofErr w:type="gramEnd"/>
    </w:p>
    <w:p w14:paraId="726C85F0" w14:textId="77777777" w:rsidR="00141C8A" w:rsidRDefault="00DC6DB8">
      <w:pPr>
        <w:numPr>
          <w:ilvl w:val="0"/>
          <w:numId w:val="9"/>
        </w:numPr>
        <w:pBdr>
          <w:top w:val="nil"/>
          <w:left w:val="nil"/>
          <w:bottom w:val="nil"/>
          <w:right w:val="nil"/>
          <w:between w:val="nil"/>
        </w:pBdr>
        <w:tabs>
          <w:tab w:val="left" w:pos="432"/>
          <w:tab w:val="left" w:pos="916"/>
        </w:tabs>
        <w:spacing w:after="120" w:line="360" w:lineRule="auto"/>
        <w:rPr>
          <w:rFonts w:ascii="Arial" w:eastAsia="Arial" w:hAnsi="Arial" w:cs="Arial"/>
          <w:color w:val="010000"/>
          <w:sz w:val="20"/>
          <w:szCs w:val="20"/>
        </w:rPr>
      </w:pPr>
      <w:r>
        <w:rPr>
          <w:rFonts w:ascii="Arial" w:hAnsi="Arial"/>
          <w:color w:val="010000"/>
          <w:sz w:val="20"/>
        </w:rPr>
        <w:t>Appropriation for bonus fund for managers: VND107,</w:t>
      </w:r>
      <w:proofErr w:type="gramStart"/>
      <w:r>
        <w:rPr>
          <w:rFonts w:ascii="Arial" w:hAnsi="Arial"/>
          <w:color w:val="010000"/>
          <w:sz w:val="20"/>
        </w:rPr>
        <w:t>089,500;</w:t>
      </w:r>
      <w:proofErr w:type="gramEnd"/>
    </w:p>
    <w:p w14:paraId="485B501B" w14:textId="77777777" w:rsidR="00141C8A" w:rsidRDefault="00DC6DB8">
      <w:pPr>
        <w:numPr>
          <w:ilvl w:val="0"/>
          <w:numId w:val="9"/>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Pr>
          <w:rFonts w:ascii="Arial" w:hAnsi="Arial"/>
          <w:color w:val="010000"/>
          <w:sz w:val="20"/>
        </w:rPr>
        <w:t>Dividend payment: VND2,886,800,000 (Rate of dividend/capital charter = 5.0%). The General Meeting of Shareholders approves paying all dividends in VND, assigning the Board of Directors to decide on the time to record the list of shareholders and the time to pay dividends in accordance with the provisions of the Law on Enterprise and the Company's Charter.</w:t>
      </w:r>
    </w:p>
    <w:p w14:paraId="721D08D4" w14:textId="77777777" w:rsidR="00141C8A" w:rsidRDefault="00DC6DB8">
      <w:pPr>
        <w:numPr>
          <w:ilvl w:val="0"/>
          <w:numId w:val="1"/>
        </w:numPr>
        <w:pBdr>
          <w:top w:val="nil"/>
          <w:left w:val="nil"/>
          <w:bottom w:val="nil"/>
          <w:right w:val="nil"/>
          <w:between w:val="nil"/>
        </w:pBdr>
        <w:tabs>
          <w:tab w:val="left" w:pos="432"/>
          <w:tab w:val="left" w:pos="942"/>
        </w:tabs>
        <w:spacing w:after="120" w:line="360" w:lineRule="auto"/>
        <w:rPr>
          <w:rFonts w:ascii="Arial" w:eastAsia="Arial" w:hAnsi="Arial" w:cs="Arial"/>
          <w:color w:val="010000"/>
          <w:sz w:val="20"/>
          <w:szCs w:val="20"/>
        </w:rPr>
      </w:pPr>
      <w:r>
        <w:rPr>
          <w:rFonts w:ascii="Arial" w:hAnsi="Arial"/>
          <w:color w:val="010000"/>
          <w:sz w:val="20"/>
        </w:rPr>
        <w:t>Temporarily approve the salary, remuneration, and bonus data for 2023 and the planned salary for 2024 of the Board of Directors and the Supervisory Board as follows:</w:t>
      </w:r>
    </w:p>
    <w:p w14:paraId="5EE891DE" w14:textId="54940F20" w:rsidR="00141C8A" w:rsidRDefault="00DC6DB8">
      <w:pPr>
        <w:numPr>
          <w:ilvl w:val="0"/>
          <w:numId w:val="2"/>
        </w:numPr>
        <w:pBdr>
          <w:top w:val="nil"/>
          <w:left w:val="nil"/>
          <w:bottom w:val="nil"/>
          <w:right w:val="nil"/>
          <w:between w:val="nil"/>
        </w:pBdr>
        <w:tabs>
          <w:tab w:val="left" w:pos="432"/>
          <w:tab w:val="left" w:pos="952"/>
        </w:tabs>
        <w:spacing w:after="120" w:line="360" w:lineRule="auto"/>
        <w:rPr>
          <w:rFonts w:ascii="Arial" w:eastAsia="Arial" w:hAnsi="Arial" w:cs="Arial"/>
          <w:color w:val="010000"/>
          <w:sz w:val="20"/>
          <w:szCs w:val="20"/>
        </w:rPr>
      </w:pPr>
      <w:r>
        <w:rPr>
          <w:rFonts w:ascii="Arial" w:hAnsi="Arial"/>
          <w:color w:val="010000"/>
          <w:sz w:val="20"/>
        </w:rPr>
        <w:t>Total salaries, remunerations and bonuses for the Board of Directors and the Supervisory Board in 2023 are: VND1,439,659,762. In which, total salary and remuneration is VND1,368,059,762 and total bonus is VND71,600,000.</w:t>
      </w:r>
    </w:p>
    <w:p w14:paraId="1B30DE5F" w14:textId="77777777" w:rsidR="00141C8A" w:rsidRDefault="00DC6DB8">
      <w:pPr>
        <w:numPr>
          <w:ilvl w:val="0"/>
          <w:numId w:val="2"/>
        </w:numPr>
        <w:pBdr>
          <w:top w:val="nil"/>
          <w:left w:val="nil"/>
          <w:bottom w:val="nil"/>
          <w:right w:val="nil"/>
          <w:between w:val="nil"/>
        </w:pBdr>
        <w:tabs>
          <w:tab w:val="left" w:pos="432"/>
          <w:tab w:val="left" w:pos="967"/>
        </w:tabs>
        <w:spacing w:after="120" w:line="360" w:lineRule="auto"/>
        <w:rPr>
          <w:rFonts w:ascii="Arial" w:eastAsia="Arial" w:hAnsi="Arial" w:cs="Arial"/>
          <w:color w:val="010000"/>
          <w:sz w:val="20"/>
          <w:szCs w:val="20"/>
        </w:rPr>
      </w:pPr>
      <w:r>
        <w:rPr>
          <w:rFonts w:ascii="Arial" w:hAnsi="Arial"/>
          <w:color w:val="010000"/>
          <w:sz w:val="20"/>
        </w:rPr>
        <w:t>Approve the planned salary of the Board of Directors and the Supervisory Board in 2024:</w:t>
      </w:r>
    </w:p>
    <w:p w14:paraId="3CCFAB7E"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salary of the Board of Directors and the Supervisory Board: VND1,387,200,000. In which:</w:t>
      </w:r>
    </w:p>
    <w:p w14:paraId="05F2D778" w14:textId="77777777" w:rsidR="00141C8A" w:rsidRDefault="00DC6DB8">
      <w:pPr>
        <w:numPr>
          <w:ilvl w:val="0"/>
          <w:numId w:val="9"/>
        </w:numPr>
        <w:pBdr>
          <w:top w:val="nil"/>
          <w:left w:val="nil"/>
          <w:bottom w:val="nil"/>
          <w:right w:val="nil"/>
          <w:between w:val="nil"/>
        </w:pBdr>
        <w:tabs>
          <w:tab w:val="left" w:pos="432"/>
          <w:tab w:val="left" w:pos="868"/>
        </w:tabs>
        <w:spacing w:after="120" w:line="360" w:lineRule="auto"/>
        <w:rPr>
          <w:rFonts w:ascii="Arial" w:eastAsia="Arial" w:hAnsi="Arial" w:cs="Arial"/>
          <w:color w:val="010000"/>
          <w:sz w:val="20"/>
          <w:szCs w:val="20"/>
        </w:rPr>
      </w:pPr>
      <w:r>
        <w:rPr>
          <w:rFonts w:ascii="Arial" w:hAnsi="Arial"/>
          <w:color w:val="010000"/>
          <w:sz w:val="20"/>
        </w:rPr>
        <w:t>Salary of Executive Board of Directors (3 persons): VND887,</w:t>
      </w:r>
      <w:proofErr w:type="gramStart"/>
      <w:r>
        <w:rPr>
          <w:rFonts w:ascii="Arial" w:hAnsi="Arial"/>
          <w:color w:val="010000"/>
          <w:sz w:val="20"/>
        </w:rPr>
        <w:t>582,025;</w:t>
      </w:r>
      <w:proofErr w:type="gramEnd"/>
    </w:p>
    <w:p w14:paraId="5040D023" w14:textId="77777777" w:rsidR="00141C8A" w:rsidRDefault="00DC6DB8">
      <w:pPr>
        <w:numPr>
          <w:ilvl w:val="0"/>
          <w:numId w:val="9"/>
        </w:numPr>
        <w:pBdr>
          <w:top w:val="nil"/>
          <w:left w:val="nil"/>
          <w:bottom w:val="nil"/>
          <w:right w:val="nil"/>
          <w:between w:val="nil"/>
        </w:pBdr>
        <w:tabs>
          <w:tab w:val="left" w:pos="432"/>
          <w:tab w:val="left" w:pos="868"/>
        </w:tabs>
        <w:spacing w:after="120" w:line="360" w:lineRule="auto"/>
        <w:rPr>
          <w:rFonts w:ascii="Arial" w:eastAsia="Arial" w:hAnsi="Arial" w:cs="Arial"/>
          <w:color w:val="010000"/>
          <w:sz w:val="20"/>
          <w:szCs w:val="20"/>
        </w:rPr>
      </w:pPr>
      <w:r>
        <w:rPr>
          <w:rFonts w:ascii="Arial" w:hAnsi="Arial"/>
          <w:color w:val="010000"/>
          <w:sz w:val="20"/>
        </w:rPr>
        <w:lastRenderedPageBreak/>
        <w:t>Salary of Non-executive Board of Directors (2 persons): VND105,</w:t>
      </w:r>
      <w:proofErr w:type="gramStart"/>
      <w:r>
        <w:rPr>
          <w:rFonts w:ascii="Arial" w:hAnsi="Arial"/>
          <w:color w:val="010000"/>
          <w:sz w:val="20"/>
        </w:rPr>
        <w:t>600,000;</w:t>
      </w:r>
      <w:proofErr w:type="gramEnd"/>
    </w:p>
    <w:p w14:paraId="617DBBBC" w14:textId="77777777" w:rsidR="00141C8A" w:rsidRDefault="00DC6DB8">
      <w:pPr>
        <w:numPr>
          <w:ilvl w:val="0"/>
          <w:numId w:val="9"/>
        </w:numPr>
        <w:pBdr>
          <w:top w:val="nil"/>
          <w:left w:val="nil"/>
          <w:bottom w:val="nil"/>
          <w:right w:val="nil"/>
          <w:between w:val="nil"/>
        </w:pBdr>
        <w:tabs>
          <w:tab w:val="left" w:pos="432"/>
          <w:tab w:val="left" w:pos="872"/>
        </w:tabs>
        <w:spacing w:after="120" w:line="360" w:lineRule="auto"/>
        <w:rPr>
          <w:rFonts w:ascii="Arial" w:eastAsia="Arial" w:hAnsi="Arial" w:cs="Arial"/>
          <w:color w:val="010000"/>
          <w:sz w:val="20"/>
          <w:szCs w:val="20"/>
        </w:rPr>
      </w:pPr>
      <w:r>
        <w:rPr>
          <w:rFonts w:ascii="Arial" w:hAnsi="Arial"/>
          <w:color w:val="010000"/>
          <w:sz w:val="20"/>
        </w:rPr>
        <w:t>Salary of Executive Supervisor (1 person): VND276,</w:t>
      </w:r>
      <w:proofErr w:type="gramStart"/>
      <w:r>
        <w:rPr>
          <w:rFonts w:ascii="Arial" w:hAnsi="Arial"/>
          <w:color w:val="010000"/>
          <w:sz w:val="20"/>
        </w:rPr>
        <w:t>000,000;</w:t>
      </w:r>
      <w:proofErr w:type="gramEnd"/>
    </w:p>
    <w:p w14:paraId="2F980027" w14:textId="77777777" w:rsidR="00141C8A" w:rsidRDefault="00DC6DB8">
      <w:pPr>
        <w:numPr>
          <w:ilvl w:val="0"/>
          <w:numId w:val="9"/>
        </w:numPr>
        <w:pBdr>
          <w:top w:val="nil"/>
          <w:left w:val="nil"/>
          <w:bottom w:val="nil"/>
          <w:right w:val="nil"/>
          <w:between w:val="nil"/>
        </w:pBdr>
        <w:tabs>
          <w:tab w:val="left" w:pos="432"/>
          <w:tab w:val="left" w:pos="829"/>
        </w:tabs>
        <w:spacing w:after="120" w:line="360" w:lineRule="auto"/>
        <w:rPr>
          <w:rFonts w:ascii="Arial" w:eastAsia="Arial" w:hAnsi="Arial" w:cs="Arial"/>
          <w:color w:val="010000"/>
          <w:sz w:val="20"/>
          <w:szCs w:val="20"/>
        </w:rPr>
      </w:pPr>
      <w:r>
        <w:rPr>
          <w:rFonts w:ascii="Arial" w:hAnsi="Arial"/>
          <w:color w:val="010000"/>
          <w:sz w:val="20"/>
        </w:rPr>
        <w:t>Salary of Non-executive Supervisor (2 persons): VND105,600,000.</w:t>
      </w:r>
    </w:p>
    <w:p w14:paraId="754A9E5F" w14:textId="56B70593" w:rsidR="00141C8A" w:rsidRDefault="00DC6DB8">
      <w:pPr>
        <w:numPr>
          <w:ilvl w:val="0"/>
          <w:numId w:val="2"/>
        </w:numPr>
        <w:pBdr>
          <w:top w:val="nil"/>
          <w:left w:val="nil"/>
          <w:bottom w:val="nil"/>
          <w:right w:val="nil"/>
          <w:between w:val="nil"/>
        </w:pBdr>
        <w:tabs>
          <w:tab w:val="left" w:pos="432"/>
          <w:tab w:val="left" w:pos="978"/>
        </w:tabs>
        <w:spacing w:after="120" w:line="360" w:lineRule="auto"/>
        <w:rPr>
          <w:rFonts w:ascii="Arial" w:eastAsia="Arial" w:hAnsi="Arial" w:cs="Arial"/>
          <w:color w:val="010000"/>
          <w:sz w:val="20"/>
          <w:szCs w:val="20"/>
        </w:rPr>
      </w:pPr>
      <w:r>
        <w:rPr>
          <w:rFonts w:ascii="Arial" w:hAnsi="Arial"/>
          <w:color w:val="010000"/>
          <w:sz w:val="20"/>
        </w:rPr>
        <w:t>Salary fund, Remuneration fund and Bonus fund of Company managers: comply with the provisions of Circular No. 28/2016/TT-BLDTBXH dated September 01,</w:t>
      </w:r>
      <w:r w:rsidR="00801BA7">
        <w:rPr>
          <w:rFonts w:ascii="Arial" w:hAnsi="Arial"/>
          <w:color w:val="010000"/>
          <w:sz w:val="20"/>
        </w:rPr>
        <w:t xml:space="preserve"> </w:t>
      </w:r>
      <w:proofErr w:type="gramStart"/>
      <w:r>
        <w:rPr>
          <w:rFonts w:ascii="Arial" w:hAnsi="Arial"/>
          <w:color w:val="010000"/>
          <w:sz w:val="20"/>
        </w:rPr>
        <w:t>2016</w:t>
      </w:r>
      <w:proofErr w:type="gramEnd"/>
      <w:r>
        <w:rPr>
          <w:rFonts w:ascii="Arial" w:hAnsi="Arial"/>
          <w:color w:val="010000"/>
          <w:sz w:val="20"/>
        </w:rPr>
        <w:t xml:space="preserve"> of the Ministry of Labor, War Invalids and Social Affairs.</w:t>
      </w:r>
    </w:p>
    <w:p w14:paraId="4AAAAA48" w14:textId="77777777" w:rsidR="00141C8A" w:rsidRDefault="00DC6DB8">
      <w:pPr>
        <w:numPr>
          <w:ilvl w:val="0"/>
          <w:numId w:val="2"/>
        </w:numPr>
        <w:pBdr>
          <w:top w:val="nil"/>
          <w:left w:val="nil"/>
          <w:bottom w:val="nil"/>
          <w:right w:val="nil"/>
          <w:between w:val="nil"/>
        </w:pBdr>
        <w:tabs>
          <w:tab w:val="left" w:pos="432"/>
          <w:tab w:val="left" w:pos="978"/>
        </w:tabs>
        <w:spacing w:after="120" w:line="360" w:lineRule="auto"/>
        <w:rPr>
          <w:rFonts w:ascii="Arial" w:eastAsia="Arial" w:hAnsi="Arial" w:cs="Arial"/>
          <w:color w:val="010000"/>
          <w:sz w:val="20"/>
          <w:szCs w:val="20"/>
        </w:rPr>
      </w:pPr>
      <w:r>
        <w:rPr>
          <w:rFonts w:ascii="Arial" w:hAnsi="Arial"/>
          <w:color w:val="010000"/>
          <w:sz w:val="20"/>
        </w:rPr>
        <w:t>Approve authorizing the Board of Directors of the Company to approve the final settlement of salaries, remunerations, and bonuses realized in 2023 and the planned salary for 2024 of the Board of Directors and the Supervisory Board after receiving written approval from the competent authority.</w:t>
      </w:r>
    </w:p>
    <w:p w14:paraId="10536B18" w14:textId="77777777" w:rsidR="00141C8A" w:rsidRDefault="00DC6DB8">
      <w:pPr>
        <w:numPr>
          <w:ilvl w:val="0"/>
          <w:numId w:val="1"/>
        </w:numPr>
        <w:pBdr>
          <w:top w:val="nil"/>
          <w:left w:val="nil"/>
          <w:bottom w:val="nil"/>
          <w:right w:val="nil"/>
          <w:between w:val="nil"/>
        </w:pBdr>
        <w:tabs>
          <w:tab w:val="left" w:pos="432"/>
          <w:tab w:val="left" w:pos="934"/>
        </w:tabs>
        <w:spacing w:after="120" w:line="360" w:lineRule="auto"/>
        <w:rPr>
          <w:rFonts w:ascii="Arial" w:eastAsia="Arial" w:hAnsi="Arial" w:cs="Arial"/>
          <w:color w:val="010000"/>
          <w:sz w:val="20"/>
          <w:szCs w:val="20"/>
        </w:rPr>
      </w:pPr>
      <w:r>
        <w:rPr>
          <w:rFonts w:ascii="Arial" w:hAnsi="Arial"/>
          <w:color w:val="010000"/>
          <w:sz w:val="20"/>
        </w:rPr>
        <w:t>Approve selecting AAC Auditing and Accounting Company Limited as the independent audit company for the Financial Statements 2024 of Da Nang Urban Environment Joint Stock Company.</w:t>
      </w:r>
    </w:p>
    <w:p w14:paraId="6B403083" w14:textId="77777777" w:rsidR="00141C8A" w:rsidRDefault="00DC6DB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6. Terms of enforcement</w:t>
      </w:r>
    </w:p>
    <w:p w14:paraId="189205A8" w14:textId="77777777" w:rsidR="00141C8A" w:rsidRDefault="00DC6DB8">
      <w:pPr>
        <w:numPr>
          <w:ilvl w:val="0"/>
          <w:numId w:val="3"/>
        </w:numPr>
        <w:pBdr>
          <w:top w:val="nil"/>
          <w:left w:val="nil"/>
          <w:bottom w:val="nil"/>
          <w:right w:val="nil"/>
          <w:between w:val="nil"/>
        </w:pBdr>
        <w:tabs>
          <w:tab w:val="left" w:pos="432"/>
          <w:tab w:val="left" w:pos="942"/>
        </w:tabs>
        <w:spacing w:after="120" w:line="360" w:lineRule="auto"/>
        <w:rPr>
          <w:rFonts w:ascii="Arial" w:eastAsia="Arial" w:hAnsi="Arial" w:cs="Arial"/>
          <w:color w:val="010000"/>
          <w:sz w:val="20"/>
          <w:szCs w:val="20"/>
        </w:rPr>
      </w:pPr>
      <w:r>
        <w:rPr>
          <w:rFonts w:ascii="Arial" w:hAnsi="Arial"/>
          <w:color w:val="010000"/>
          <w:sz w:val="20"/>
        </w:rPr>
        <w:t>This General Mandate has been approved by the General Meeting of Shareholders and takes effect from the date of its signing.</w:t>
      </w:r>
    </w:p>
    <w:p w14:paraId="34EFBF72" w14:textId="77777777" w:rsidR="00141C8A" w:rsidRDefault="00DC6DB8">
      <w:pPr>
        <w:numPr>
          <w:ilvl w:val="0"/>
          <w:numId w:val="3"/>
        </w:numPr>
        <w:pBdr>
          <w:top w:val="nil"/>
          <w:left w:val="nil"/>
          <w:bottom w:val="nil"/>
          <w:right w:val="nil"/>
          <w:between w:val="nil"/>
        </w:pBdr>
        <w:tabs>
          <w:tab w:val="left" w:pos="432"/>
          <w:tab w:val="left" w:pos="931"/>
        </w:tabs>
        <w:spacing w:after="120" w:line="360" w:lineRule="auto"/>
        <w:rPr>
          <w:rFonts w:ascii="Arial" w:eastAsia="Arial" w:hAnsi="Arial" w:cs="Arial"/>
          <w:color w:val="010000"/>
          <w:sz w:val="20"/>
          <w:szCs w:val="20"/>
        </w:rPr>
      </w:pPr>
      <w:r>
        <w:rPr>
          <w:rFonts w:ascii="Arial" w:hAnsi="Arial"/>
          <w:color w:val="010000"/>
          <w:sz w:val="20"/>
        </w:rPr>
        <w:t>The General Meeting of Shareholders approves assigning the Board of Directors to be responsible for organizing, directing, urging, and monitoring the implementation of the contents approved by shareholders at the Annual General Meeting of Shareholders 2024 in accordance with the provisions of Law, Charter and Regulations of the Company.</w:t>
      </w:r>
    </w:p>
    <w:p w14:paraId="6C9041D7" w14:textId="77777777" w:rsidR="00141C8A" w:rsidRDefault="00DC6DB8">
      <w:pPr>
        <w:numPr>
          <w:ilvl w:val="0"/>
          <w:numId w:val="3"/>
        </w:numPr>
        <w:pBdr>
          <w:top w:val="nil"/>
          <w:left w:val="nil"/>
          <w:bottom w:val="nil"/>
          <w:right w:val="nil"/>
          <w:between w:val="nil"/>
        </w:pBdr>
        <w:tabs>
          <w:tab w:val="left" w:pos="432"/>
          <w:tab w:val="left" w:pos="934"/>
        </w:tabs>
        <w:spacing w:after="120" w:line="360" w:lineRule="auto"/>
        <w:rPr>
          <w:rFonts w:ascii="Arial" w:eastAsia="Arial" w:hAnsi="Arial" w:cs="Arial"/>
          <w:color w:val="010000"/>
          <w:sz w:val="20"/>
          <w:szCs w:val="20"/>
        </w:rPr>
      </w:pPr>
      <w:r>
        <w:rPr>
          <w:rFonts w:ascii="Arial" w:hAnsi="Arial"/>
          <w:color w:val="010000"/>
          <w:sz w:val="20"/>
        </w:rPr>
        <w:t xml:space="preserve"> The Company shareholders, members of the Board of Directors, the Supervisory Board, and the Board of Management of </w:t>
      </w:r>
      <w:proofErr w:type="gramStart"/>
      <w:r>
        <w:rPr>
          <w:rFonts w:ascii="Arial" w:hAnsi="Arial"/>
          <w:color w:val="010000"/>
          <w:sz w:val="20"/>
        </w:rPr>
        <w:t>Da</w:t>
      </w:r>
      <w:proofErr w:type="gramEnd"/>
      <w:r>
        <w:rPr>
          <w:rFonts w:ascii="Arial" w:hAnsi="Arial"/>
          <w:color w:val="010000"/>
          <w:sz w:val="20"/>
        </w:rPr>
        <w:t xml:space="preserve"> Nang Urban Environment Joint Stock Company are responsible for implementing this General Mandate./.</w:t>
      </w:r>
    </w:p>
    <w:sectPr w:rsidR="00141C8A">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C65"/>
    <w:multiLevelType w:val="multilevel"/>
    <w:tmpl w:val="C93A7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B17AC"/>
    <w:multiLevelType w:val="multilevel"/>
    <w:tmpl w:val="BBA8A73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133C0A"/>
    <w:multiLevelType w:val="multilevel"/>
    <w:tmpl w:val="F496B8A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845D91"/>
    <w:multiLevelType w:val="multilevel"/>
    <w:tmpl w:val="B4B8680A"/>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410FFF"/>
    <w:multiLevelType w:val="multilevel"/>
    <w:tmpl w:val="AA9CA3F2"/>
    <w:lvl w:ilvl="0">
      <w:start w:val="1"/>
      <w:numFmt w:val="decimal"/>
      <w:lvlText w:val="2.%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21A0FC8"/>
    <w:multiLevelType w:val="multilevel"/>
    <w:tmpl w:val="27286FC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28750A"/>
    <w:multiLevelType w:val="multilevel"/>
    <w:tmpl w:val="C45A2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CD4839"/>
    <w:multiLevelType w:val="multilevel"/>
    <w:tmpl w:val="0EAC5310"/>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F96747A"/>
    <w:multiLevelType w:val="multilevel"/>
    <w:tmpl w:val="612429C2"/>
    <w:lvl w:ilvl="0">
      <w:start w:val="1"/>
      <w:numFmt w:val="decimal"/>
      <w:lvlText w:val="%1."/>
      <w:lvlJc w:val="left"/>
      <w:pPr>
        <w:ind w:left="0" w:firstLine="0"/>
      </w:pPr>
      <w:rPr>
        <w:rFonts w:ascii="Arial" w:eastAsia="Arial" w:hAnsi="Arial" w:cs="Arial"/>
        <w:b w:val="0"/>
        <w:i w:val="0"/>
        <w:smallCaps w:val="0"/>
        <w:strike w:val="0"/>
        <w:color w:val="262E38"/>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7606549">
    <w:abstractNumId w:val="3"/>
  </w:num>
  <w:num w:numId="2" w16cid:durableId="1208680719">
    <w:abstractNumId w:val="7"/>
  </w:num>
  <w:num w:numId="3" w16cid:durableId="1974404065">
    <w:abstractNumId w:val="2"/>
  </w:num>
  <w:num w:numId="4" w16cid:durableId="990063043">
    <w:abstractNumId w:val="5"/>
  </w:num>
  <w:num w:numId="5" w16cid:durableId="45106330">
    <w:abstractNumId w:val="0"/>
  </w:num>
  <w:num w:numId="6" w16cid:durableId="577178799">
    <w:abstractNumId w:val="6"/>
  </w:num>
  <w:num w:numId="7" w16cid:durableId="843478713">
    <w:abstractNumId w:val="8"/>
  </w:num>
  <w:num w:numId="8" w16cid:durableId="562569967">
    <w:abstractNumId w:val="4"/>
  </w:num>
  <w:num w:numId="9" w16cid:durableId="1644769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8A"/>
    <w:rsid w:val="00141C8A"/>
    <w:rsid w:val="006679EF"/>
    <w:rsid w:val="00801BA7"/>
    <w:rsid w:val="00B056BB"/>
    <w:rsid w:val="00D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88ED"/>
  <w15:docId w15:val="{56B433D6-7713-4FF5-BD05-E107889E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6"/>
      <w:szCs w:val="1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D695AD"/>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262E38"/>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20">
    <w:name w:val="Văn bản nội dung (2)"/>
    <w:basedOn w:val="Normal"/>
    <w:link w:val="Vnbnnidung2"/>
    <w:pPr>
      <w:spacing w:line="276" w:lineRule="auto"/>
    </w:pPr>
    <w:rPr>
      <w:rFonts w:ascii="Arial" w:eastAsia="Arial" w:hAnsi="Arial" w:cs="Arial"/>
      <w:sz w:val="8"/>
      <w:szCs w:val="8"/>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spacing w:line="266" w:lineRule="auto"/>
      <w:jc w:val="center"/>
    </w:pPr>
    <w:rPr>
      <w:rFonts w:ascii="Arial" w:eastAsia="Arial" w:hAnsi="Arial" w:cs="Arial"/>
      <w:sz w:val="16"/>
      <w:szCs w:val="16"/>
    </w:rPr>
  </w:style>
  <w:style w:type="paragraph" w:customStyle="1" w:styleId="Vnbnnidung50">
    <w:name w:val="Văn bản nội dung (5)"/>
    <w:basedOn w:val="Normal"/>
    <w:link w:val="Vnbnnidung5"/>
    <w:pPr>
      <w:spacing w:line="190" w:lineRule="auto"/>
      <w:ind w:firstLine="920"/>
    </w:pPr>
    <w:rPr>
      <w:rFonts w:ascii="Arial" w:eastAsia="Arial" w:hAnsi="Arial" w:cs="Arial"/>
      <w:color w:val="D695AD"/>
      <w:sz w:val="19"/>
      <w:szCs w:val="19"/>
    </w:rPr>
  </w:style>
  <w:style w:type="paragraph" w:customStyle="1" w:styleId="Chthchbng0">
    <w:name w:val="Chú thích bảng"/>
    <w:basedOn w:val="Normal"/>
    <w:link w:val="Chthchbng"/>
    <w:pPr>
      <w:spacing w:line="228" w:lineRule="auto"/>
      <w:ind w:firstLine="560"/>
    </w:pPr>
    <w:rPr>
      <w:rFonts w:ascii="Times New Roman" w:eastAsia="Times New Roman" w:hAnsi="Times New Roman" w:cs="Times New Roman"/>
      <w:color w:val="262E38"/>
      <w:sz w:val="26"/>
      <w:szCs w:val="26"/>
    </w:rPr>
  </w:style>
  <w:style w:type="paragraph" w:customStyle="1" w:styleId="Khc0">
    <w:name w:val="Khác"/>
    <w:basedOn w:val="Normal"/>
    <w:link w:val="Khc"/>
    <w:pPr>
      <w:spacing w:line="257"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u42sfQxMxetTawNP5MKhDNkqg==">CgMxLjA4AHIhMTBsUXY3d01ObmxNeE9XTWRySkRBVG5sejlKOXN2aVdQ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Phuong Trinh</cp:lastModifiedBy>
  <cp:revision>4</cp:revision>
  <dcterms:created xsi:type="dcterms:W3CDTF">2024-07-02T08:45:00Z</dcterms:created>
  <dcterms:modified xsi:type="dcterms:W3CDTF">2024-07-04T03:56:00Z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d755cf41101e49a35ce96b40a699dcf458a054ed8d713cda030c5389d3297a2d</vt:lpwstr>
  </property>
</Properties>
</file>