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CA5E" w14:textId="77777777" w:rsidR="002C0A1C" w:rsidRDefault="00116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DSD: Board Resolution</w:t>
      </w:r>
    </w:p>
    <w:p w14:paraId="4631CA5F" w14:textId="77777777" w:rsidR="002C0A1C" w:rsidRDefault="00116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On May 01, 2024, DHC </w:t>
      </w:r>
      <w:proofErr w:type="spellStart"/>
      <w:r>
        <w:rPr>
          <w:rFonts w:ascii="Arial" w:hAnsi="Arial"/>
          <w:sz w:val="20"/>
        </w:rPr>
        <w:t>Suoi</w:t>
      </w:r>
      <w:proofErr w:type="spellEnd"/>
      <w:r>
        <w:rPr>
          <w:rFonts w:ascii="Arial" w:hAnsi="Arial"/>
          <w:sz w:val="20"/>
        </w:rPr>
        <w:t xml:space="preserve"> Doi Corporation announced Resolution No. 381/2024/NQ-HDQT as follows: </w:t>
      </w:r>
    </w:p>
    <w:p w14:paraId="4631CA61" w14:textId="41EA2313" w:rsidR="002C0A1C" w:rsidRDefault="00116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‎‎Article 1. </w:t>
      </w:r>
      <w:r>
        <w:rPr>
          <w:rFonts w:ascii="Arial" w:hAnsi="Arial"/>
          <w:sz w:val="20"/>
        </w:rPr>
        <w:t xml:space="preserve">Approve signing a loan contract between DHC </w:t>
      </w:r>
      <w:proofErr w:type="spellStart"/>
      <w:r>
        <w:rPr>
          <w:rFonts w:ascii="Arial" w:hAnsi="Arial"/>
          <w:sz w:val="20"/>
        </w:rPr>
        <w:t>Suoi</w:t>
      </w:r>
      <w:proofErr w:type="spellEnd"/>
      <w:r>
        <w:rPr>
          <w:rFonts w:ascii="Arial" w:hAnsi="Arial"/>
          <w:sz w:val="20"/>
        </w:rPr>
        <w:t xml:space="preserve"> Doi Corporation and the related party Công ty </w:t>
      </w:r>
      <w:proofErr w:type="spellStart"/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ổ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ứ</w:t>
      </w:r>
      <w:proofErr w:type="spellEnd"/>
      <w:r>
        <w:rPr>
          <w:rFonts w:ascii="Arial" w:hAnsi="Arial"/>
          <w:sz w:val="20"/>
        </w:rPr>
        <w:t xml:space="preserve"> DHC (tentatively translated as DHC Ceramics Joint Stock Company), with total loan amount of: VND 7,300,000,000 to repay the loan</w:t>
      </w:r>
      <w:r w:rsidR="00825E81"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pecifically as follows:</w:t>
      </w: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1111"/>
        <w:gridCol w:w="1508"/>
        <w:gridCol w:w="918"/>
        <w:gridCol w:w="1210"/>
        <w:gridCol w:w="1223"/>
        <w:gridCol w:w="2611"/>
      </w:tblGrid>
      <w:tr w:rsidR="002C0A1C" w14:paraId="4631CA6C" w14:textId="77777777">
        <w:tc>
          <w:tcPr>
            <w:tcW w:w="4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2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4" w14:textId="3A0DCEC1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Borrower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5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Amount (VND)</w:t>
            </w:r>
          </w:p>
        </w:tc>
        <w:tc>
          <w:tcPr>
            <w:tcW w:w="9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7" w14:textId="7D950E7C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Interest rate/year (%)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9" w14:textId="49BFB3F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Loan limit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A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Date of signing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B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Relations with the Company</w:t>
            </w:r>
          </w:p>
        </w:tc>
      </w:tr>
      <w:tr w:rsidR="002C0A1C" w14:paraId="4631CA78" w14:textId="77777777">
        <w:tc>
          <w:tcPr>
            <w:tcW w:w="4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6D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1.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0" w14:textId="5F48ACDE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DHC Ceramics Joint Stock Company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1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7,300,000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000 </w:t>
            </w:r>
          </w:p>
        </w:tc>
        <w:tc>
          <w:tcPr>
            <w:tcW w:w="9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2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8%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3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03 years</w:t>
            </w:r>
          </w:p>
          <w:p w14:paraId="4631CA74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(This time might be changed if agreed by the two parties)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5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July 01, 2024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1CA76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Mr. Le Minh Duc - Member of the Board of Directors of DHC </w:t>
            </w:r>
            <w:proofErr w:type="spellStart"/>
            <w:r>
              <w:rPr>
                <w:rFonts w:ascii="Arial" w:hAnsi="Arial"/>
                <w:sz w:val="20"/>
              </w:rPr>
              <w:t>Suoi</w:t>
            </w:r>
            <w:proofErr w:type="spellEnd"/>
            <w:r>
              <w:rPr>
                <w:rFonts w:ascii="Arial" w:hAnsi="Arial"/>
                <w:sz w:val="20"/>
              </w:rPr>
              <w:t xml:space="preserve"> Doi Corporation, who is the major shareholder of DHC Ceramics Joint Stock Company</w:t>
            </w:r>
          </w:p>
          <w:p w14:paraId="4631CA77" w14:textId="77777777" w:rsidR="002C0A1C" w:rsidRDefault="001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Mr. Le Thanh Dat - the Chair of the Board of Directors of DHC Ceramics Joint Stock Company, who is affiliated person of Mr. Le Minh Duc.</w:t>
            </w:r>
          </w:p>
        </w:tc>
      </w:tr>
    </w:tbl>
    <w:p w14:paraId="4631CA79" w14:textId="77777777" w:rsidR="002C0A1C" w:rsidRDefault="00116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sz w:val="20"/>
        </w:rPr>
        <w:t xml:space="preserve">‎‎Article 2. </w:t>
      </w:r>
      <w:r>
        <w:rPr>
          <w:rFonts w:ascii="Arial" w:hAnsi="Arial"/>
          <w:sz w:val="20"/>
        </w:rPr>
        <w:t>The Board of Managers, and functional departments and units of the Company are responsible to implement this Board Resolution.</w:t>
      </w:r>
    </w:p>
    <w:p w14:paraId="4631CA7A" w14:textId="1F9E90BB" w:rsidR="002C0A1C" w:rsidRDefault="00116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‎‎Article 3. </w:t>
      </w:r>
      <w:r>
        <w:rPr>
          <w:rFonts w:ascii="Arial" w:hAnsi="Arial"/>
          <w:sz w:val="20"/>
        </w:rPr>
        <w:t>This Board Resolution takes effect from the date of its signing.</w:t>
      </w:r>
    </w:p>
    <w:p w14:paraId="4631CA7B" w14:textId="77777777" w:rsidR="002C0A1C" w:rsidRDefault="002C0A1C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</w:p>
    <w:sectPr w:rsidR="002C0A1C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1C"/>
    <w:rsid w:val="00116EBF"/>
    <w:rsid w:val="002C0A1C"/>
    <w:rsid w:val="00494A30"/>
    <w:rsid w:val="008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CA5E"/>
  <w15:docId w15:val="{28011193-3DBE-431F-90C2-4FDB891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83E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83E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83E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83E"/>
      <w:u w:val="none"/>
    </w:rPr>
  </w:style>
  <w:style w:type="paragraph" w:customStyle="1" w:styleId="Bodytext40">
    <w:name w:val="Body text (4)"/>
    <w:basedOn w:val="Normal"/>
    <w:link w:val="Bodytext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310" w:lineRule="auto"/>
      <w:ind w:firstLine="10"/>
    </w:pPr>
    <w:rPr>
      <w:rFonts w:ascii="Times New Roman" w:eastAsia="Times New Roman" w:hAnsi="Times New Roman" w:cs="Times New Roman"/>
      <w:color w:val="33383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33383E"/>
      <w:sz w:val="30"/>
      <w:szCs w:val="3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4" w:lineRule="auto"/>
      <w:ind w:left="480" w:hanging="240"/>
    </w:pPr>
    <w:rPr>
      <w:rFonts w:ascii="Times New Roman" w:eastAsia="Times New Roman" w:hAnsi="Times New Roman" w:cs="Times New Roman"/>
      <w:color w:val="33383E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310" w:lineRule="auto"/>
      <w:ind w:firstLine="10"/>
    </w:pPr>
    <w:rPr>
      <w:rFonts w:ascii="Times New Roman" w:eastAsia="Times New Roman" w:hAnsi="Times New Roman" w:cs="Times New Roman"/>
      <w:color w:val="33383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lQlPi2YrDOK7o/PfE6HqbUHRg==">CgMxLjAyCGguZ2pkZ3hzOAByITFsdUhQSGw5QmJyMGxtci0yZnQzVmZib2xUNkkyTEFZRA==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Phuong Trinh</cp:lastModifiedBy>
  <cp:revision>3</cp:revision>
  <dcterms:created xsi:type="dcterms:W3CDTF">2024-07-03T04:36:00Z</dcterms:created>
  <dcterms:modified xsi:type="dcterms:W3CDTF">2024-07-04T03:51:00Z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c6bb4eb11877086014895f0d4097c7843525eba67118e713f235bbce36cd4ef0</vt:lpwstr>
  </property>
</Properties>
</file>