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A955"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b/>
          <w:sz w:val="20"/>
          <w:szCs w:val="20"/>
        </w:rPr>
      </w:pPr>
      <w:r>
        <w:rPr>
          <w:rFonts w:ascii="Arial" w:hAnsi="Arial"/>
          <w:b/>
          <w:sz w:val="20"/>
        </w:rPr>
        <w:t>FTI: Annual General Mandate 2024</w:t>
      </w:r>
    </w:p>
    <w:p w14:paraId="2782D488"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On June 28, 2024, Friendship trading - Industrial Joint Stock Company announced General Mandate No. 07/NQ-DHDCD.2024 as follows:</w:t>
      </w:r>
    </w:p>
    <w:p w14:paraId="61203727"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1. The General Meeting of Shareholders of Friendship trading - Industrial Joint Stock Company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w:t>
      </w:r>
      <w:proofErr w:type="spellEnd"/>
      <w:r>
        <w:rPr>
          <w:rFonts w:ascii="Arial" w:hAnsi="Arial"/>
          <w:sz w:val="20"/>
        </w:rPr>
        <w:t xml:space="preserve"> Company) approves the following contents: </w:t>
      </w:r>
    </w:p>
    <w:p w14:paraId="2BF0B387" w14:textId="77777777" w:rsidR="001A11BC" w:rsidRDefault="009B7183" w:rsidP="00740DE7">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 xml:space="preserve">Report on the performance of the Board of Directors in 2023 - Operating orientation in 2024. </w:t>
      </w:r>
    </w:p>
    <w:p w14:paraId="4C240C26" w14:textId="77777777" w:rsidR="001A11BC" w:rsidRDefault="009B7183" w:rsidP="00740DE7">
      <w:pPr>
        <w:pBdr>
          <w:top w:val="nil"/>
          <w:left w:val="nil"/>
          <w:bottom w:val="nil"/>
          <w:right w:val="nil"/>
          <w:between w:val="nil"/>
        </w:pBdr>
        <w:tabs>
          <w:tab w:val="left" w:pos="567"/>
          <w:tab w:val="left" w:pos="9273"/>
        </w:tabs>
        <w:spacing w:after="120" w:line="360" w:lineRule="auto"/>
        <w:jc w:val="both"/>
        <w:rPr>
          <w:rFonts w:ascii="Arial" w:eastAsia="Arial" w:hAnsi="Arial" w:cs="Arial"/>
          <w:sz w:val="20"/>
          <w:szCs w:val="20"/>
        </w:rPr>
      </w:pPr>
      <w:r>
        <w:rPr>
          <w:rFonts w:ascii="Arial" w:hAnsi="Arial"/>
          <w:sz w:val="20"/>
        </w:rPr>
        <w:t>Figures of production and business results in 2023 (The audit company issues a disclaimer of opinion for the Financial Statements 2023).</w:t>
      </w:r>
    </w:p>
    <w:p w14:paraId="1DF2D9EF" w14:textId="77777777" w:rsidR="001A11BC" w:rsidRDefault="009B7183" w:rsidP="00740DE7">
      <w:pPr>
        <w:numPr>
          <w:ilvl w:val="1"/>
          <w:numId w:val="5"/>
        </w:numPr>
        <w:pBdr>
          <w:top w:val="nil"/>
          <w:left w:val="nil"/>
          <w:bottom w:val="nil"/>
          <w:right w:val="nil"/>
          <w:between w:val="nil"/>
        </w:pBdr>
        <w:tabs>
          <w:tab w:val="left" w:pos="567"/>
          <w:tab w:val="left" w:pos="9504"/>
        </w:tabs>
        <w:spacing w:after="120" w:line="360" w:lineRule="auto"/>
        <w:ind w:left="0" w:firstLine="0"/>
        <w:jc w:val="both"/>
        <w:rPr>
          <w:rFonts w:ascii="Arial" w:eastAsia="Arial" w:hAnsi="Arial" w:cs="Arial"/>
          <w:sz w:val="20"/>
          <w:szCs w:val="20"/>
        </w:rPr>
      </w:pPr>
      <w:r>
        <w:rPr>
          <w:rFonts w:ascii="Arial" w:hAnsi="Arial"/>
          <w:sz w:val="20"/>
        </w:rPr>
        <w:t xml:space="preserve">Main production and business results in 2023: </w:t>
      </w:r>
    </w:p>
    <w:tbl>
      <w:tblPr>
        <w:tblStyle w:val="a"/>
        <w:tblW w:w="9027" w:type="dxa"/>
        <w:tblLayout w:type="fixed"/>
        <w:tblLook w:val="0000" w:firstRow="0" w:lastRow="0" w:firstColumn="0" w:lastColumn="0" w:noHBand="0" w:noVBand="0"/>
      </w:tblPr>
      <w:tblGrid>
        <w:gridCol w:w="5039"/>
        <w:gridCol w:w="3988"/>
      </w:tblGrid>
      <w:tr w:rsidR="001A11BC" w14:paraId="7E5654B7" w14:textId="77777777">
        <w:tc>
          <w:tcPr>
            <w:tcW w:w="5039" w:type="dxa"/>
            <w:shd w:val="clear" w:color="auto" w:fill="auto"/>
            <w:tcMar>
              <w:top w:w="0" w:type="dxa"/>
              <w:left w:w="0" w:type="dxa"/>
              <w:bottom w:w="0" w:type="dxa"/>
              <w:right w:w="0" w:type="dxa"/>
            </w:tcMar>
            <w:vAlign w:val="center"/>
          </w:tcPr>
          <w:p w14:paraId="089F6E49" w14:textId="77777777" w:rsidR="001A11BC" w:rsidRDefault="009B7183" w:rsidP="00740DE7">
            <w:pPr>
              <w:widowControl/>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Revenue:</w:t>
            </w:r>
          </w:p>
        </w:tc>
        <w:tc>
          <w:tcPr>
            <w:tcW w:w="3988" w:type="dxa"/>
            <w:shd w:val="clear" w:color="auto" w:fill="auto"/>
            <w:tcMar>
              <w:top w:w="0" w:type="dxa"/>
              <w:left w:w="0" w:type="dxa"/>
              <w:bottom w:w="0" w:type="dxa"/>
              <w:right w:w="0" w:type="dxa"/>
            </w:tcMar>
            <w:vAlign w:val="center"/>
          </w:tcPr>
          <w:p w14:paraId="67568C6E" w14:textId="77777777" w:rsidR="001A11BC" w:rsidRDefault="009B7183" w:rsidP="00740DE7">
            <w:pPr>
              <w:widowControl/>
              <w:tabs>
                <w:tab w:val="left" w:pos="567"/>
              </w:tabs>
              <w:spacing w:after="120" w:line="360" w:lineRule="auto"/>
              <w:jc w:val="both"/>
              <w:rPr>
                <w:rFonts w:ascii="Arial" w:eastAsia="Arial" w:hAnsi="Arial" w:cs="Arial"/>
                <w:sz w:val="20"/>
                <w:szCs w:val="20"/>
              </w:rPr>
            </w:pPr>
            <w:r>
              <w:rPr>
                <w:rFonts w:ascii="Arial" w:hAnsi="Arial"/>
                <w:sz w:val="20"/>
              </w:rPr>
              <w:t>VND9,220,861,619;</w:t>
            </w:r>
          </w:p>
        </w:tc>
      </w:tr>
      <w:tr w:rsidR="001A11BC" w14:paraId="4DA55B18" w14:textId="77777777">
        <w:tc>
          <w:tcPr>
            <w:tcW w:w="5039" w:type="dxa"/>
            <w:shd w:val="clear" w:color="auto" w:fill="auto"/>
            <w:tcMar>
              <w:top w:w="0" w:type="dxa"/>
              <w:left w:w="0" w:type="dxa"/>
              <w:bottom w:w="0" w:type="dxa"/>
              <w:right w:w="0" w:type="dxa"/>
            </w:tcMar>
            <w:vAlign w:val="center"/>
          </w:tcPr>
          <w:p w14:paraId="50FCDAE1" w14:textId="77777777" w:rsidR="001A11BC" w:rsidRDefault="009B7183" w:rsidP="00740DE7">
            <w:pPr>
              <w:widowControl/>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Profit before tax:</w:t>
            </w:r>
          </w:p>
        </w:tc>
        <w:tc>
          <w:tcPr>
            <w:tcW w:w="3988" w:type="dxa"/>
            <w:shd w:val="clear" w:color="auto" w:fill="auto"/>
            <w:tcMar>
              <w:top w:w="0" w:type="dxa"/>
              <w:left w:w="0" w:type="dxa"/>
              <w:bottom w:w="0" w:type="dxa"/>
              <w:right w:w="0" w:type="dxa"/>
            </w:tcMar>
            <w:vAlign w:val="center"/>
          </w:tcPr>
          <w:p w14:paraId="0F65C0E2" w14:textId="77777777" w:rsidR="001A11BC" w:rsidRDefault="009B7183" w:rsidP="00740DE7">
            <w:pPr>
              <w:widowControl/>
              <w:tabs>
                <w:tab w:val="left" w:pos="567"/>
              </w:tabs>
              <w:spacing w:after="120" w:line="360" w:lineRule="auto"/>
              <w:jc w:val="both"/>
              <w:rPr>
                <w:rFonts w:ascii="Arial" w:eastAsia="Arial" w:hAnsi="Arial" w:cs="Arial"/>
                <w:sz w:val="20"/>
                <w:szCs w:val="20"/>
              </w:rPr>
            </w:pPr>
            <w:r>
              <w:rPr>
                <w:rFonts w:ascii="Arial" w:hAnsi="Arial"/>
                <w:sz w:val="20"/>
              </w:rPr>
              <w:t>VND2,018,941,674;</w:t>
            </w:r>
          </w:p>
        </w:tc>
      </w:tr>
      <w:tr w:rsidR="001A11BC" w14:paraId="51FB3D3E" w14:textId="77777777">
        <w:tc>
          <w:tcPr>
            <w:tcW w:w="5039" w:type="dxa"/>
            <w:shd w:val="clear" w:color="auto" w:fill="auto"/>
            <w:tcMar>
              <w:top w:w="0" w:type="dxa"/>
              <w:left w:w="0" w:type="dxa"/>
              <w:bottom w:w="0" w:type="dxa"/>
              <w:right w:w="0" w:type="dxa"/>
            </w:tcMar>
            <w:vAlign w:val="center"/>
          </w:tcPr>
          <w:p w14:paraId="5BA47C03" w14:textId="77777777" w:rsidR="001A11BC" w:rsidRDefault="009B7183" w:rsidP="00740DE7">
            <w:pPr>
              <w:widowControl/>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Payables to the State Budget (actual amount):</w:t>
            </w:r>
          </w:p>
        </w:tc>
        <w:tc>
          <w:tcPr>
            <w:tcW w:w="3988" w:type="dxa"/>
            <w:shd w:val="clear" w:color="auto" w:fill="auto"/>
            <w:tcMar>
              <w:top w:w="0" w:type="dxa"/>
              <w:left w:w="0" w:type="dxa"/>
              <w:bottom w:w="0" w:type="dxa"/>
              <w:right w:w="0" w:type="dxa"/>
            </w:tcMar>
            <w:vAlign w:val="center"/>
          </w:tcPr>
          <w:p w14:paraId="50366631" w14:textId="77777777" w:rsidR="001A11BC" w:rsidRDefault="009B7183" w:rsidP="00740DE7">
            <w:pPr>
              <w:widowControl/>
              <w:tabs>
                <w:tab w:val="left" w:pos="567"/>
              </w:tabs>
              <w:spacing w:after="120" w:line="360" w:lineRule="auto"/>
              <w:jc w:val="both"/>
              <w:rPr>
                <w:rFonts w:ascii="Arial" w:eastAsia="Arial" w:hAnsi="Arial" w:cs="Arial"/>
                <w:sz w:val="20"/>
                <w:szCs w:val="20"/>
              </w:rPr>
            </w:pPr>
            <w:r>
              <w:rPr>
                <w:rFonts w:ascii="Arial" w:hAnsi="Arial"/>
                <w:sz w:val="20"/>
              </w:rPr>
              <w:t>VND2,525,019,369.</w:t>
            </w:r>
          </w:p>
        </w:tc>
      </w:tr>
    </w:tbl>
    <w:p w14:paraId="2E694C64"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In addition, in 2023, Song Mai Company transfers dividends to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w:t>
      </w:r>
      <w:proofErr w:type="spellEnd"/>
      <w:r>
        <w:rPr>
          <w:rFonts w:ascii="Arial" w:hAnsi="Arial"/>
          <w:sz w:val="20"/>
        </w:rPr>
        <w:t xml:space="preserve"> Company of VND92,531,342,374 (including 2 capital contribution confirmations of VND78,000,000,000 and VND14,531,342,374 transferred to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w:t>
      </w:r>
      <w:proofErr w:type="spellEnd"/>
      <w:r>
        <w:rPr>
          <w:rFonts w:ascii="Arial" w:hAnsi="Arial"/>
          <w:sz w:val="20"/>
        </w:rPr>
        <w:t xml:space="preserve"> Company's bank account). Audited Financial Statements No. 090/2023/BCTC-FAC dated March 30, 2024 shows the above content as follows:</w:t>
      </w:r>
    </w:p>
    <w:p w14:paraId="18A45C24" w14:textId="77777777" w:rsidR="001A11BC" w:rsidRDefault="009B7183" w:rsidP="00740DE7">
      <w:pPr>
        <w:numPr>
          <w:ilvl w:val="0"/>
          <w:numId w:val="7"/>
        </w:numPr>
        <w:pBdr>
          <w:top w:val="nil"/>
          <w:left w:val="nil"/>
          <w:bottom w:val="nil"/>
          <w:right w:val="nil"/>
          <w:between w:val="nil"/>
        </w:pBdr>
        <w:tabs>
          <w:tab w:val="left" w:pos="567"/>
          <w:tab w:val="left" w:pos="1441"/>
        </w:tabs>
        <w:spacing w:after="120" w:line="360" w:lineRule="auto"/>
        <w:jc w:val="both"/>
        <w:rPr>
          <w:rFonts w:ascii="Arial" w:eastAsia="Arial" w:hAnsi="Arial" w:cs="Arial"/>
          <w:sz w:val="20"/>
          <w:szCs w:val="20"/>
        </w:rPr>
      </w:pPr>
      <w:r>
        <w:rPr>
          <w:rFonts w:ascii="Arial" w:hAnsi="Arial"/>
          <w:sz w:val="20"/>
        </w:rPr>
        <w:t>Total revenue and other income: VND101,752,203,993.</w:t>
      </w:r>
    </w:p>
    <w:p w14:paraId="746F9350" w14:textId="77777777" w:rsidR="001A11BC" w:rsidRDefault="009B7183" w:rsidP="00740DE7">
      <w:pPr>
        <w:numPr>
          <w:ilvl w:val="0"/>
          <w:numId w:val="7"/>
        </w:numPr>
        <w:pBdr>
          <w:top w:val="nil"/>
          <w:left w:val="nil"/>
          <w:bottom w:val="nil"/>
          <w:right w:val="nil"/>
          <w:between w:val="nil"/>
        </w:pBdr>
        <w:tabs>
          <w:tab w:val="left" w:pos="567"/>
          <w:tab w:val="left" w:pos="1445"/>
          <w:tab w:val="left" w:pos="4769"/>
        </w:tabs>
        <w:spacing w:after="120" w:line="360" w:lineRule="auto"/>
        <w:jc w:val="both"/>
        <w:rPr>
          <w:rFonts w:ascii="Arial" w:eastAsia="Arial" w:hAnsi="Arial" w:cs="Arial"/>
          <w:sz w:val="20"/>
          <w:szCs w:val="20"/>
        </w:rPr>
      </w:pPr>
      <w:r>
        <w:rPr>
          <w:rFonts w:ascii="Arial" w:hAnsi="Arial"/>
          <w:sz w:val="20"/>
        </w:rPr>
        <w:t>Total profit before tax: VND94,550,284,048.</w:t>
      </w:r>
    </w:p>
    <w:p w14:paraId="777353C7"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Currently, the Company is discussing with the audit company to approve on the Company's business results in 2023.</w:t>
      </w:r>
    </w:p>
    <w:p w14:paraId="1E61F2E7" w14:textId="77777777" w:rsidR="001A11BC" w:rsidRDefault="009B7183" w:rsidP="00740DE7">
      <w:pPr>
        <w:numPr>
          <w:ilvl w:val="0"/>
          <w:numId w:val="7"/>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 There is no opinion on the production and business results in 2023 because the independent audit company issues a disclaimer of opinion for the Financial Statements 2023.</w:t>
      </w:r>
    </w:p>
    <w:p w14:paraId="2EB05A44" w14:textId="77777777" w:rsidR="001A11BC" w:rsidRDefault="009B7183" w:rsidP="00740DE7">
      <w:pPr>
        <w:numPr>
          <w:ilvl w:val="0"/>
          <w:numId w:val="6"/>
        </w:numPr>
        <w:pBdr>
          <w:top w:val="nil"/>
          <w:left w:val="nil"/>
          <w:bottom w:val="nil"/>
          <w:right w:val="nil"/>
          <w:between w:val="nil"/>
        </w:pBdr>
        <w:tabs>
          <w:tab w:val="left" w:pos="567"/>
          <w:tab w:val="left" w:pos="1373"/>
        </w:tabs>
        <w:spacing w:after="120" w:line="360" w:lineRule="auto"/>
        <w:jc w:val="both"/>
        <w:rPr>
          <w:rFonts w:ascii="Arial" w:eastAsia="Arial" w:hAnsi="Arial" w:cs="Arial"/>
          <w:sz w:val="20"/>
          <w:szCs w:val="20"/>
        </w:rPr>
      </w:pPr>
      <w:r>
        <w:rPr>
          <w:rFonts w:ascii="Arial" w:hAnsi="Arial"/>
          <w:sz w:val="20"/>
        </w:rPr>
        <w:t>Planned targets for 2024 and remaining contents in the Report on the performance of the Board of Directors in 2023 - Operating orientation for 2024.</w:t>
      </w:r>
    </w:p>
    <w:p w14:paraId="3E83AE15" w14:textId="77777777" w:rsidR="001A11BC" w:rsidRDefault="009B7183" w:rsidP="00740DE7">
      <w:pPr>
        <w:numPr>
          <w:ilvl w:val="1"/>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sz w:val="20"/>
          <w:szCs w:val="20"/>
        </w:rPr>
      </w:pPr>
      <w:r>
        <w:rPr>
          <w:rFonts w:ascii="Arial" w:hAnsi="Arial"/>
          <w:sz w:val="20"/>
        </w:rPr>
        <w:t>Main production and business plan 2024:</w:t>
      </w:r>
    </w:p>
    <w:p w14:paraId="5CBA2B20" w14:textId="77777777" w:rsidR="001A11BC" w:rsidRDefault="009B7183" w:rsidP="00740DE7">
      <w:pPr>
        <w:numPr>
          <w:ilvl w:val="0"/>
          <w:numId w:val="7"/>
        </w:numPr>
        <w:pBdr>
          <w:top w:val="nil"/>
          <w:left w:val="nil"/>
          <w:bottom w:val="nil"/>
          <w:right w:val="nil"/>
          <w:between w:val="nil"/>
        </w:pBdr>
        <w:tabs>
          <w:tab w:val="left" w:pos="567"/>
          <w:tab w:val="left" w:pos="1194"/>
          <w:tab w:val="left" w:pos="4914"/>
        </w:tabs>
        <w:spacing w:after="120" w:line="360" w:lineRule="auto"/>
        <w:jc w:val="both"/>
        <w:rPr>
          <w:rFonts w:ascii="Arial" w:eastAsia="Arial" w:hAnsi="Arial" w:cs="Arial"/>
          <w:sz w:val="20"/>
          <w:szCs w:val="20"/>
        </w:rPr>
      </w:pPr>
      <w:r>
        <w:rPr>
          <w:rFonts w:ascii="Arial" w:hAnsi="Arial"/>
          <w:sz w:val="20"/>
        </w:rPr>
        <w:t>Revenue: VND9,731,017,985;</w:t>
      </w:r>
    </w:p>
    <w:p w14:paraId="6D15601C" w14:textId="77777777" w:rsidR="001A11BC" w:rsidRDefault="009B7183" w:rsidP="00740DE7">
      <w:pPr>
        <w:numPr>
          <w:ilvl w:val="0"/>
          <w:numId w:val="7"/>
        </w:numPr>
        <w:pBdr>
          <w:top w:val="nil"/>
          <w:left w:val="nil"/>
          <w:bottom w:val="nil"/>
          <w:right w:val="nil"/>
          <w:between w:val="nil"/>
        </w:pBdr>
        <w:tabs>
          <w:tab w:val="left" w:pos="567"/>
          <w:tab w:val="left" w:pos="1198"/>
          <w:tab w:val="left" w:pos="5166"/>
        </w:tabs>
        <w:spacing w:after="120" w:line="360" w:lineRule="auto"/>
        <w:jc w:val="both"/>
        <w:rPr>
          <w:rFonts w:ascii="Arial" w:eastAsia="Arial" w:hAnsi="Arial" w:cs="Arial"/>
          <w:sz w:val="20"/>
          <w:szCs w:val="20"/>
        </w:rPr>
      </w:pPr>
      <w:r>
        <w:rPr>
          <w:rFonts w:ascii="Arial" w:hAnsi="Arial"/>
          <w:sz w:val="20"/>
        </w:rPr>
        <w:t>Profit before tax: VND206,334,494;</w:t>
      </w:r>
    </w:p>
    <w:p w14:paraId="68150B2E" w14:textId="77777777" w:rsidR="001A11BC" w:rsidRDefault="009B7183" w:rsidP="00740DE7">
      <w:pPr>
        <w:numPr>
          <w:ilvl w:val="0"/>
          <w:numId w:val="7"/>
        </w:numPr>
        <w:pBdr>
          <w:top w:val="nil"/>
          <w:left w:val="nil"/>
          <w:bottom w:val="nil"/>
          <w:right w:val="nil"/>
          <w:between w:val="nil"/>
        </w:pBdr>
        <w:tabs>
          <w:tab w:val="left" w:pos="567"/>
          <w:tab w:val="left" w:pos="1201"/>
          <w:tab w:val="left" w:pos="4914"/>
        </w:tabs>
        <w:spacing w:after="120" w:line="360" w:lineRule="auto"/>
        <w:jc w:val="both"/>
        <w:rPr>
          <w:rFonts w:ascii="Arial" w:eastAsia="Arial" w:hAnsi="Arial" w:cs="Arial"/>
          <w:sz w:val="20"/>
          <w:szCs w:val="20"/>
        </w:rPr>
      </w:pPr>
      <w:r>
        <w:rPr>
          <w:rFonts w:ascii="Arial" w:hAnsi="Arial"/>
          <w:sz w:val="20"/>
        </w:rPr>
        <w:t>Payable to State budget: VND4,906,387,531.</w:t>
      </w:r>
    </w:p>
    <w:p w14:paraId="0A5ACB0A"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In addition, the Company is in the process of completing legal procedures to resolve the Audited Financial Statements 2023 being issued a disclaimer of opinion.</w:t>
      </w:r>
    </w:p>
    <w:p w14:paraId="582C049D"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Expected dividends received from Song Mai Company in 2024 is VND13,228,974,298.</w:t>
      </w:r>
    </w:p>
    <w:p w14:paraId="2BB9EDE7" w14:textId="77777777" w:rsidR="001A11BC" w:rsidRDefault="009B7183" w:rsidP="00740DE7">
      <w:pPr>
        <w:numPr>
          <w:ilvl w:val="0"/>
          <w:numId w:val="7"/>
        </w:numPr>
        <w:pBdr>
          <w:top w:val="nil"/>
          <w:left w:val="nil"/>
          <w:bottom w:val="nil"/>
          <w:right w:val="nil"/>
          <w:between w:val="nil"/>
        </w:pBdr>
        <w:tabs>
          <w:tab w:val="left" w:pos="567"/>
          <w:tab w:val="left" w:pos="1085"/>
        </w:tabs>
        <w:spacing w:after="120" w:line="360" w:lineRule="auto"/>
        <w:jc w:val="both"/>
        <w:rPr>
          <w:rFonts w:ascii="Arial" w:eastAsia="Arial" w:hAnsi="Arial" w:cs="Arial"/>
          <w:sz w:val="20"/>
          <w:szCs w:val="20"/>
        </w:rPr>
      </w:pPr>
      <w:r>
        <w:rPr>
          <w:rFonts w:ascii="Arial" w:hAnsi="Arial"/>
          <w:sz w:val="20"/>
        </w:rPr>
        <w:t xml:space="preserve">Approve on the planned targets for 2024 and the remaining contents in the Report on the performance of the Board of Directors in 2023 - Operating orientation for 2024 of the Board of </w:t>
      </w:r>
      <w:r>
        <w:rPr>
          <w:rFonts w:ascii="Arial" w:hAnsi="Arial"/>
          <w:sz w:val="20"/>
        </w:rPr>
        <w:lastRenderedPageBreak/>
        <w:t>Directors.</w:t>
      </w:r>
    </w:p>
    <w:p w14:paraId="16E87BDB" w14:textId="77777777" w:rsidR="001A11BC" w:rsidRDefault="009B7183" w:rsidP="00740DE7">
      <w:pPr>
        <w:numPr>
          <w:ilvl w:val="0"/>
          <w:numId w:val="6"/>
        </w:numPr>
        <w:pBdr>
          <w:top w:val="nil"/>
          <w:left w:val="nil"/>
          <w:bottom w:val="nil"/>
          <w:right w:val="nil"/>
          <w:between w:val="nil"/>
        </w:pBdr>
        <w:tabs>
          <w:tab w:val="left" w:pos="567"/>
          <w:tab w:val="left" w:pos="1286"/>
        </w:tabs>
        <w:spacing w:after="120" w:line="360" w:lineRule="auto"/>
        <w:jc w:val="both"/>
        <w:rPr>
          <w:rFonts w:ascii="Arial" w:eastAsia="Arial" w:hAnsi="Arial" w:cs="Arial"/>
          <w:sz w:val="20"/>
          <w:szCs w:val="20"/>
        </w:rPr>
      </w:pPr>
      <w:r>
        <w:rPr>
          <w:rFonts w:ascii="Arial" w:hAnsi="Arial"/>
          <w:sz w:val="20"/>
        </w:rPr>
        <w:t>Continue to resolve unfinished tasks according to the Annual General Mandate 2023.</w:t>
      </w:r>
    </w:p>
    <w:p w14:paraId="6FE4383A" w14:textId="77777777" w:rsidR="001A11BC" w:rsidRDefault="009B7183" w:rsidP="00740DE7">
      <w:pPr>
        <w:numPr>
          <w:ilvl w:val="0"/>
          <w:numId w:val="8"/>
        </w:numPr>
        <w:pBdr>
          <w:top w:val="nil"/>
          <w:left w:val="nil"/>
          <w:bottom w:val="nil"/>
          <w:right w:val="nil"/>
          <w:between w:val="nil"/>
        </w:pBdr>
        <w:tabs>
          <w:tab w:val="left" w:pos="567"/>
          <w:tab w:val="left" w:pos="1138"/>
        </w:tabs>
        <w:spacing w:after="120" w:line="360" w:lineRule="auto"/>
        <w:jc w:val="both"/>
        <w:rPr>
          <w:rFonts w:ascii="Arial" w:eastAsia="Arial" w:hAnsi="Arial" w:cs="Arial"/>
          <w:sz w:val="20"/>
          <w:szCs w:val="20"/>
        </w:rPr>
      </w:pPr>
      <w:r>
        <w:rPr>
          <w:rFonts w:ascii="Arial" w:hAnsi="Arial"/>
          <w:sz w:val="20"/>
        </w:rPr>
        <w:t>Report on production and business results in 2023 - Orientation for 2024.</w:t>
      </w:r>
    </w:p>
    <w:p w14:paraId="214E07B4" w14:textId="77777777" w:rsidR="001A11BC" w:rsidRDefault="009B7183" w:rsidP="00740DE7">
      <w:pPr>
        <w:numPr>
          <w:ilvl w:val="1"/>
          <w:numId w:val="8"/>
        </w:numPr>
        <w:pBdr>
          <w:top w:val="nil"/>
          <w:left w:val="nil"/>
          <w:bottom w:val="nil"/>
          <w:right w:val="nil"/>
          <w:between w:val="nil"/>
        </w:pBdr>
        <w:tabs>
          <w:tab w:val="left" w:pos="567"/>
          <w:tab w:val="left" w:pos="1254"/>
        </w:tabs>
        <w:spacing w:after="120" w:line="360" w:lineRule="auto"/>
        <w:jc w:val="both"/>
        <w:rPr>
          <w:rFonts w:ascii="Arial" w:eastAsia="Arial" w:hAnsi="Arial" w:cs="Arial"/>
          <w:sz w:val="20"/>
          <w:szCs w:val="20"/>
        </w:rPr>
      </w:pPr>
      <w:r>
        <w:rPr>
          <w:rFonts w:ascii="Arial" w:hAnsi="Arial"/>
          <w:sz w:val="20"/>
        </w:rPr>
        <w:t>Figures of production and business results in 2023 (The audit company issues a disclaimer of opinion for the Financial Statements 2023). According to figures in Section 1.1, Content 1.</w:t>
      </w:r>
    </w:p>
    <w:p w14:paraId="498A36F8" w14:textId="77777777" w:rsidR="001A11BC" w:rsidRDefault="009B7183" w:rsidP="00740DE7">
      <w:pPr>
        <w:numPr>
          <w:ilvl w:val="0"/>
          <w:numId w:val="7"/>
        </w:numPr>
        <w:pBdr>
          <w:top w:val="nil"/>
          <w:left w:val="nil"/>
          <w:bottom w:val="nil"/>
          <w:right w:val="nil"/>
          <w:between w:val="nil"/>
        </w:pBdr>
        <w:tabs>
          <w:tab w:val="left" w:pos="567"/>
          <w:tab w:val="left" w:pos="1085"/>
        </w:tabs>
        <w:spacing w:after="120" w:line="360" w:lineRule="auto"/>
        <w:jc w:val="both"/>
        <w:rPr>
          <w:rFonts w:ascii="Arial" w:eastAsia="Arial" w:hAnsi="Arial" w:cs="Arial"/>
          <w:sz w:val="20"/>
          <w:szCs w:val="20"/>
        </w:rPr>
      </w:pPr>
      <w:r>
        <w:rPr>
          <w:rFonts w:ascii="Arial" w:hAnsi="Arial"/>
          <w:sz w:val="20"/>
        </w:rPr>
        <w:t>There is no opinion on the production and business results in 2023 because the independent audit company issues a disclaimer of opinion for the Financial Statements 2023.</w:t>
      </w:r>
    </w:p>
    <w:p w14:paraId="566B92DF" w14:textId="77777777" w:rsidR="001A11BC" w:rsidRDefault="009B7183" w:rsidP="00740DE7">
      <w:pPr>
        <w:numPr>
          <w:ilvl w:val="1"/>
          <w:numId w:val="8"/>
        </w:numPr>
        <w:pBdr>
          <w:top w:val="nil"/>
          <w:left w:val="nil"/>
          <w:bottom w:val="nil"/>
          <w:right w:val="nil"/>
          <w:between w:val="nil"/>
        </w:pBdr>
        <w:tabs>
          <w:tab w:val="left" w:pos="567"/>
          <w:tab w:val="left" w:pos="1264"/>
        </w:tabs>
        <w:spacing w:after="120" w:line="360" w:lineRule="auto"/>
        <w:jc w:val="both"/>
        <w:rPr>
          <w:rFonts w:ascii="Arial" w:eastAsia="Arial" w:hAnsi="Arial" w:cs="Arial"/>
          <w:sz w:val="20"/>
          <w:szCs w:val="20"/>
        </w:rPr>
      </w:pPr>
      <w:r>
        <w:rPr>
          <w:rFonts w:ascii="Arial" w:hAnsi="Arial"/>
          <w:sz w:val="20"/>
        </w:rPr>
        <w:t xml:space="preserve">Planned targets for 2024, the remaining contents in the Report on the business results in 2023, and the operating orientation for 2024 of the General Manager of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w:t>
      </w:r>
      <w:proofErr w:type="spellEnd"/>
      <w:r>
        <w:rPr>
          <w:rFonts w:ascii="Arial" w:hAnsi="Arial"/>
          <w:sz w:val="20"/>
        </w:rPr>
        <w:t xml:space="preserve"> Company. According to figures in Section 1.2, Content 1.</w:t>
      </w:r>
    </w:p>
    <w:p w14:paraId="77EE597D" w14:textId="77777777" w:rsidR="001A11BC" w:rsidRDefault="009B7183" w:rsidP="00740DE7">
      <w:pPr>
        <w:numPr>
          <w:ilvl w:val="0"/>
          <w:numId w:val="7"/>
        </w:numPr>
        <w:pBdr>
          <w:top w:val="nil"/>
          <w:left w:val="nil"/>
          <w:bottom w:val="nil"/>
          <w:right w:val="nil"/>
          <w:between w:val="nil"/>
        </w:pBdr>
        <w:tabs>
          <w:tab w:val="left" w:pos="567"/>
          <w:tab w:val="left" w:pos="1085"/>
        </w:tabs>
        <w:spacing w:after="120" w:line="360" w:lineRule="auto"/>
        <w:jc w:val="both"/>
        <w:rPr>
          <w:rFonts w:ascii="Arial" w:eastAsia="Arial" w:hAnsi="Arial" w:cs="Arial"/>
          <w:sz w:val="20"/>
          <w:szCs w:val="20"/>
        </w:rPr>
      </w:pPr>
      <w:r>
        <w:rPr>
          <w:rFonts w:ascii="Arial" w:hAnsi="Arial"/>
          <w:sz w:val="20"/>
        </w:rPr>
        <w:t xml:space="preserve">Approve on the planned targets for 2024, the remaining contents in the Report on the business results in 2023, and the operating orientation for 2024 of the Board of Management of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Nghi</w:t>
      </w:r>
      <w:proofErr w:type="spellEnd"/>
      <w:r>
        <w:rPr>
          <w:rFonts w:ascii="Arial" w:hAnsi="Arial"/>
          <w:sz w:val="20"/>
        </w:rPr>
        <w:t xml:space="preserve"> Company.</w:t>
      </w:r>
      <w:bookmarkStart w:id="0" w:name="_GoBack"/>
      <w:bookmarkEnd w:id="0"/>
    </w:p>
    <w:p w14:paraId="0DEC0082" w14:textId="77777777" w:rsidR="001A11BC" w:rsidRDefault="009B7183" w:rsidP="00740DE7">
      <w:pPr>
        <w:numPr>
          <w:ilvl w:val="1"/>
          <w:numId w:val="8"/>
        </w:numPr>
        <w:pBdr>
          <w:top w:val="nil"/>
          <w:left w:val="nil"/>
          <w:bottom w:val="nil"/>
          <w:right w:val="nil"/>
          <w:between w:val="nil"/>
        </w:pBdr>
        <w:tabs>
          <w:tab w:val="left" w:pos="567"/>
          <w:tab w:val="left" w:pos="1261"/>
        </w:tabs>
        <w:spacing w:after="120" w:line="360" w:lineRule="auto"/>
        <w:jc w:val="both"/>
        <w:rPr>
          <w:rFonts w:ascii="Arial" w:eastAsia="Arial" w:hAnsi="Arial" w:cs="Arial"/>
          <w:sz w:val="20"/>
          <w:szCs w:val="20"/>
        </w:rPr>
      </w:pPr>
      <w:r>
        <w:rPr>
          <w:rFonts w:ascii="Arial" w:hAnsi="Arial"/>
          <w:sz w:val="20"/>
        </w:rPr>
        <w:t xml:space="preserve">Report on the dissolution process of </w:t>
      </w:r>
      <w:proofErr w:type="spellStart"/>
      <w:r>
        <w:rPr>
          <w:rFonts w:ascii="Arial" w:hAnsi="Arial"/>
          <w:sz w:val="20"/>
        </w:rPr>
        <w:t>Vikotrade</w:t>
      </w:r>
      <w:proofErr w:type="spellEnd"/>
      <w:r>
        <w:rPr>
          <w:rFonts w:ascii="Arial" w:hAnsi="Arial"/>
          <w:sz w:val="20"/>
        </w:rPr>
        <w:t xml:space="preserve"> Ltd.</w:t>
      </w:r>
    </w:p>
    <w:p w14:paraId="31DC2483" w14:textId="77777777" w:rsidR="001A11BC" w:rsidRDefault="009B7183" w:rsidP="00740DE7">
      <w:pPr>
        <w:numPr>
          <w:ilvl w:val="0"/>
          <w:numId w:val="7"/>
        </w:numPr>
        <w:pBdr>
          <w:top w:val="nil"/>
          <w:left w:val="nil"/>
          <w:bottom w:val="nil"/>
          <w:right w:val="nil"/>
          <w:between w:val="nil"/>
        </w:pBdr>
        <w:tabs>
          <w:tab w:val="left" w:pos="567"/>
          <w:tab w:val="left" w:pos="1210"/>
        </w:tabs>
        <w:spacing w:after="120" w:line="360" w:lineRule="auto"/>
        <w:jc w:val="both"/>
        <w:rPr>
          <w:rFonts w:ascii="Arial" w:eastAsia="Arial" w:hAnsi="Arial" w:cs="Arial"/>
          <w:sz w:val="20"/>
          <w:szCs w:val="20"/>
        </w:rPr>
      </w:pPr>
      <w:r>
        <w:rPr>
          <w:rFonts w:ascii="Arial" w:hAnsi="Arial"/>
          <w:sz w:val="20"/>
        </w:rPr>
        <w:t>Approve the information needed in this Report. The implementation, figures and, proposals in the Report need to be fully carried out in accordance with current regulations.</w:t>
      </w:r>
    </w:p>
    <w:p w14:paraId="657192A6" w14:textId="77777777" w:rsidR="001A11BC" w:rsidRDefault="009B7183" w:rsidP="00740DE7">
      <w:pPr>
        <w:numPr>
          <w:ilvl w:val="1"/>
          <w:numId w:val="8"/>
        </w:numPr>
        <w:pBdr>
          <w:top w:val="nil"/>
          <w:left w:val="nil"/>
          <w:bottom w:val="nil"/>
          <w:right w:val="nil"/>
          <w:between w:val="nil"/>
        </w:pBdr>
        <w:tabs>
          <w:tab w:val="left" w:pos="567"/>
          <w:tab w:val="left" w:pos="1232"/>
        </w:tabs>
        <w:spacing w:after="120" w:line="360" w:lineRule="auto"/>
        <w:jc w:val="both"/>
        <w:rPr>
          <w:rFonts w:ascii="Arial" w:eastAsia="Arial" w:hAnsi="Arial" w:cs="Arial"/>
          <w:sz w:val="20"/>
          <w:szCs w:val="20"/>
        </w:rPr>
      </w:pPr>
      <w:r>
        <w:rPr>
          <w:rFonts w:ascii="Arial" w:hAnsi="Arial"/>
          <w:sz w:val="20"/>
        </w:rPr>
        <w:t>Report on the implementation of project investment cooperation at 11 Doan Van Bo, Ward 12, District 4.</w:t>
      </w:r>
    </w:p>
    <w:p w14:paraId="5113DB12" w14:textId="77777777" w:rsidR="001A11BC" w:rsidRDefault="009B7183" w:rsidP="00740DE7">
      <w:pPr>
        <w:numPr>
          <w:ilvl w:val="0"/>
          <w:numId w:val="7"/>
        </w:numPr>
        <w:pBdr>
          <w:top w:val="nil"/>
          <w:left w:val="nil"/>
          <w:bottom w:val="nil"/>
          <w:right w:val="nil"/>
          <w:between w:val="nil"/>
        </w:pBdr>
        <w:tabs>
          <w:tab w:val="left" w:pos="567"/>
          <w:tab w:val="left" w:pos="1218"/>
        </w:tabs>
        <w:spacing w:after="120" w:line="360" w:lineRule="auto"/>
        <w:jc w:val="both"/>
        <w:rPr>
          <w:rFonts w:ascii="Arial" w:eastAsia="Arial" w:hAnsi="Arial" w:cs="Arial"/>
          <w:sz w:val="20"/>
          <w:szCs w:val="20"/>
        </w:rPr>
      </w:pPr>
      <w:r>
        <w:rPr>
          <w:rFonts w:ascii="Arial" w:hAnsi="Arial"/>
          <w:sz w:val="20"/>
        </w:rPr>
        <w:t>Approve the information needed in this Report. The implementation, figures and, proposals in the Report need to be fully carried out in accordance with current regulations.</w:t>
      </w:r>
    </w:p>
    <w:p w14:paraId="01C8298B" w14:textId="77777777" w:rsidR="001A11BC" w:rsidRDefault="009B7183" w:rsidP="00740DE7">
      <w:pPr>
        <w:numPr>
          <w:ilvl w:val="1"/>
          <w:numId w:val="8"/>
        </w:numPr>
        <w:pBdr>
          <w:top w:val="nil"/>
          <w:left w:val="nil"/>
          <w:bottom w:val="nil"/>
          <w:right w:val="nil"/>
          <w:between w:val="nil"/>
        </w:pBdr>
        <w:tabs>
          <w:tab w:val="left" w:pos="567"/>
          <w:tab w:val="left" w:pos="1257"/>
        </w:tabs>
        <w:spacing w:after="120" w:line="360" w:lineRule="auto"/>
        <w:jc w:val="both"/>
        <w:rPr>
          <w:rFonts w:ascii="Arial" w:eastAsia="Arial" w:hAnsi="Arial" w:cs="Arial"/>
          <w:sz w:val="20"/>
          <w:szCs w:val="20"/>
        </w:rPr>
      </w:pPr>
      <w:r>
        <w:rPr>
          <w:rFonts w:ascii="Arial" w:hAnsi="Arial"/>
          <w:sz w:val="20"/>
        </w:rPr>
        <w:t>Report on the exploitation of assets on land at 279 No Trang Long, Binh Thanh District.</w:t>
      </w:r>
    </w:p>
    <w:p w14:paraId="76EE7177" w14:textId="77777777" w:rsidR="001A11BC" w:rsidRDefault="009B7183" w:rsidP="00740DE7">
      <w:pPr>
        <w:numPr>
          <w:ilvl w:val="0"/>
          <w:numId w:val="7"/>
        </w:numPr>
        <w:pBdr>
          <w:top w:val="nil"/>
          <w:left w:val="nil"/>
          <w:bottom w:val="nil"/>
          <w:right w:val="nil"/>
          <w:between w:val="nil"/>
        </w:pBdr>
        <w:tabs>
          <w:tab w:val="left" w:pos="567"/>
          <w:tab w:val="left" w:pos="1210"/>
        </w:tabs>
        <w:spacing w:after="120" w:line="360" w:lineRule="auto"/>
        <w:jc w:val="both"/>
        <w:rPr>
          <w:rFonts w:ascii="Arial" w:eastAsia="Arial" w:hAnsi="Arial" w:cs="Arial"/>
          <w:sz w:val="20"/>
          <w:szCs w:val="20"/>
        </w:rPr>
      </w:pPr>
      <w:r>
        <w:rPr>
          <w:rFonts w:ascii="Arial" w:hAnsi="Arial"/>
          <w:sz w:val="20"/>
        </w:rPr>
        <w:t>Approve the information needed in this Report. The implementation, figures and, proposals in the Report need to be fully carried out in accordance with current regulations.</w:t>
      </w:r>
    </w:p>
    <w:p w14:paraId="3483D65F" w14:textId="77777777" w:rsidR="001A11BC" w:rsidRDefault="009B7183" w:rsidP="00740DE7">
      <w:pPr>
        <w:numPr>
          <w:ilvl w:val="0"/>
          <w:numId w:val="8"/>
        </w:numPr>
        <w:pBdr>
          <w:top w:val="nil"/>
          <w:left w:val="nil"/>
          <w:bottom w:val="nil"/>
          <w:right w:val="nil"/>
          <w:between w:val="nil"/>
        </w:pBdr>
        <w:tabs>
          <w:tab w:val="left" w:pos="567"/>
          <w:tab w:val="left" w:pos="1122"/>
        </w:tabs>
        <w:spacing w:after="120" w:line="360" w:lineRule="auto"/>
        <w:jc w:val="both"/>
        <w:rPr>
          <w:rFonts w:ascii="Arial" w:eastAsia="Arial" w:hAnsi="Arial" w:cs="Arial"/>
          <w:sz w:val="20"/>
          <w:szCs w:val="20"/>
        </w:rPr>
      </w:pPr>
      <w:r>
        <w:rPr>
          <w:rFonts w:ascii="Arial" w:hAnsi="Arial"/>
          <w:sz w:val="20"/>
        </w:rPr>
        <w:t>Independent Auditor’s Report No. 090/2023/BCTC-FAC dated March 30, 2024</w:t>
      </w:r>
    </w:p>
    <w:p w14:paraId="40C3D9E5" w14:textId="77777777" w:rsidR="001A11BC" w:rsidRDefault="009B7183" w:rsidP="00740DE7">
      <w:pPr>
        <w:numPr>
          <w:ilvl w:val="0"/>
          <w:numId w:val="7"/>
        </w:numPr>
        <w:pBdr>
          <w:top w:val="nil"/>
          <w:left w:val="nil"/>
          <w:bottom w:val="nil"/>
          <w:right w:val="nil"/>
          <w:between w:val="nil"/>
        </w:pBdr>
        <w:tabs>
          <w:tab w:val="left" w:pos="567"/>
          <w:tab w:val="left" w:pos="1205"/>
        </w:tabs>
        <w:spacing w:after="120" w:line="360" w:lineRule="auto"/>
        <w:jc w:val="both"/>
        <w:rPr>
          <w:rFonts w:ascii="Arial" w:eastAsia="Arial" w:hAnsi="Arial" w:cs="Arial"/>
          <w:sz w:val="20"/>
          <w:szCs w:val="20"/>
        </w:rPr>
      </w:pPr>
      <w:r>
        <w:rPr>
          <w:rFonts w:ascii="Arial" w:hAnsi="Arial"/>
          <w:sz w:val="20"/>
        </w:rPr>
        <w:t>Not approve the Financial Statements 2023 (audited).</w:t>
      </w:r>
    </w:p>
    <w:p w14:paraId="348B08CC" w14:textId="77777777" w:rsidR="001A11BC" w:rsidRDefault="009B7183" w:rsidP="00740DE7">
      <w:pPr>
        <w:numPr>
          <w:ilvl w:val="0"/>
          <w:numId w:val="8"/>
        </w:numPr>
        <w:pBdr>
          <w:top w:val="nil"/>
          <w:left w:val="nil"/>
          <w:bottom w:val="nil"/>
          <w:right w:val="nil"/>
          <w:between w:val="nil"/>
        </w:pBdr>
        <w:tabs>
          <w:tab w:val="left" w:pos="567"/>
          <w:tab w:val="left" w:pos="1591"/>
        </w:tabs>
        <w:spacing w:after="120" w:line="360" w:lineRule="auto"/>
        <w:jc w:val="both"/>
        <w:rPr>
          <w:rFonts w:ascii="Arial" w:eastAsia="Arial" w:hAnsi="Arial" w:cs="Arial"/>
          <w:sz w:val="20"/>
          <w:szCs w:val="20"/>
        </w:rPr>
      </w:pPr>
      <w:r>
        <w:rPr>
          <w:rFonts w:ascii="Arial" w:hAnsi="Arial"/>
          <w:sz w:val="20"/>
        </w:rPr>
        <w:t>Approve the Proposal on profit distribution, appropriation for funds after the Meeting, and dividend payment in 2023.</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4476"/>
        <w:gridCol w:w="1728"/>
        <w:gridCol w:w="2126"/>
      </w:tblGrid>
      <w:tr w:rsidR="001A11BC" w:rsidRPr="00BD4822" w14:paraId="3A3D7077" w14:textId="77777777">
        <w:tc>
          <w:tcPr>
            <w:tcW w:w="687" w:type="dxa"/>
            <w:shd w:val="clear" w:color="auto" w:fill="auto"/>
            <w:tcMar>
              <w:top w:w="0" w:type="dxa"/>
              <w:bottom w:w="0" w:type="dxa"/>
            </w:tcMar>
            <w:vAlign w:val="center"/>
          </w:tcPr>
          <w:p w14:paraId="54DD5572"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No.</w:t>
            </w:r>
          </w:p>
        </w:tc>
        <w:tc>
          <w:tcPr>
            <w:tcW w:w="4476" w:type="dxa"/>
            <w:shd w:val="clear" w:color="auto" w:fill="auto"/>
            <w:tcMar>
              <w:top w:w="0" w:type="dxa"/>
              <w:bottom w:w="0" w:type="dxa"/>
            </w:tcMar>
            <w:vAlign w:val="center"/>
          </w:tcPr>
          <w:p w14:paraId="4A23E05D"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Target</w:t>
            </w:r>
          </w:p>
        </w:tc>
        <w:tc>
          <w:tcPr>
            <w:tcW w:w="1728" w:type="dxa"/>
            <w:shd w:val="clear" w:color="auto" w:fill="auto"/>
            <w:tcMar>
              <w:top w:w="0" w:type="dxa"/>
              <w:bottom w:w="0" w:type="dxa"/>
            </w:tcMar>
            <w:vAlign w:val="center"/>
          </w:tcPr>
          <w:p w14:paraId="5D63237B"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Amount (VND)</w:t>
            </w:r>
          </w:p>
        </w:tc>
        <w:tc>
          <w:tcPr>
            <w:tcW w:w="2126" w:type="dxa"/>
            <w:shd w:val="clear" w:color="auto" w:fill="auto"/>
            <w:tcMar>
              <w:top w:w="0" w:type="dxa"/>
              <w:bottom w:w="0" w:type="dxa"/>
            </w:tcMar>
            <w:vAlign w:val="center"/>
          </w:tcPr>
          <w:p w14:paraId="3F54FB67"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Note</w:t>
            </w:r>
          </w:p>
        </w:tc>
      </w:tr>
      <w:tr w:rsidR="001A11BC" w:rsidRPr="00BD4822" w14:paraId="01E593D7" w14:textId="77777777">
        <w:tc>
          <w:tcPr>
            <w:tcW w:w="687" w:type="dxa"/>
            <w:shd w:val="clear" w:color="auto" w:fill="auto"/>
            <w:tcMar>
              <w:top w:w="0" w:type="dxa"/>
              <w:bottom w:w="0" w:type="dxa"/>
            </w:tcMar>
            <w:vAlign w:val="center"/>
          </w:tcPr>
          <w:p w14:paraId="62105B19"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1</w:t>
            </w:r>
          </w:p>
        </w:tc>
        <w:tc>
          <w:tcPr>
            <w:tcW w:w="4476" w:type="dxa"/>
            <w:shd w:val="clear" w:color="auto" w:fill="auto"/>
            <w:tcMar>
              <w:top w:w="0" w:type="dxa"/>
              <w:bottom w:w="0" w:type="dxa"/>
            </w:tcMar>
            <w:vAlign w:val="center"/>
          </w:tcPr>
          <w:p w14:paraId="2883AE11"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Profit before tax</w:t>
            </w:r>
          </w:p>
        </w:tc>
        <w:tc>
          <w:tcPr>
            <w:tcW w:w="1728" w:type="dxa"/>
            <w:shd w:val="clear" w:color="auto" w:fill="auto"/>
            <w:tcMar>
              <w:top w:w="0" w:type="dxa"/>
              <w:bottom w:w="0" w:type="dxa"/>
            </w:tcMar>
            <w:vAlign w:val="center"/>
          </w:tcPr>
          <w:p w14:paraId="5EB98FCD"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94,550,284,048</w:t>
            </w:r>
          </w:p>
        </w:tc>
        <w:tc>
          <w:tcPr>
            <w:tcW w:w="2126" w:type="dxa"/>
            <w:shd w:val="clear" w:color="auto" w:fill="auto"/>
            <w:tcMar>
              <w:top w:w="0" w:type="dxa"/>
              <w:bottom w:w="0" w:type="dxa"/>
            </w:tcMar>
            <w:vAlign w:val="center"/>
          </w:tcPr>
          <w:p w14:paraId="0FCE8C35"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7FC517B3" w14:textId="77777777">
        <w:tc>
          <w:tcPr>
            <w:tcW w:w="687" w:type="dxa"/>
            <w:shd w:val="clear" w:color="auto" w:fill="auto"/>
            <w:tcMar>
              <w:top w:w="0" w:type="dxa"/>
              <w:bottom w:w="0" w:type="dxa"/>
            </w:tcMar>
            <w:vAlign w:val="center"/>
          </w:tcPr>
          <w:p w14:paraId="5F6556A0"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4DB928D2"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 Profit before tax from main production and business activities</w:t>
            </w:r>
          </w:p>
        </w:tc>
        <w:tc>
          <w:tcPr>
            <w:tcW w:w="1728" w:type="dxa"/>
            <w:shd w:val="clear" w:color="auto" w:fill="auto"/>
            <w:tcMar>
              <w:top w:w="0" w:type="dxa"/>
              <w:bottom w:w="0" w:type="dxa"/>
            </w:tcMar>
            <w:vAlign w:val="center"/>
          </w:tcPr>
          <w:p w14:paraId="535FD1F6"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2,018,941,674</w:t>
            </w:r>
          </w:p>
        </w:tc>
        <w:tc>
          <w:tcPr>
            <w:tcW w:w="2126" w:type="dxa"/>
            <w:shd w:val="clear" w:color="auto" w:fill="auto"/>
            <w:tcMar>
              <w:top w:w="0" w:type="dxa"/>
              <w:bottom w:w="0" w:type="dxa"/>
            </w:tcMar>
            <w:vAlign w:val="center"/>
          </w:tcPr>
          <w:p w14:paraId="1E06A3C2"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2C3CF0B3" w14:textId="77777777">
        <w:tc>
          <w:tcPr>
            <w:tcW w:w="687" w:type="dxa"/>
            <w:shd w:val="clear" w:color="auto" w:fill="auto"/>
            <w:tcMar>
              <w:top w:w="0" w:type="dxa"/>
              <w:bottom w:w="0" w:type="dxa"/>
            </w:tcMar>
            <w:vAlign w:val="center"/>
          </w:tcPr>
          <w:p w14:paraId="472B2025"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5C7CF77E"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 xml:space="preserve">- Profit before tax from capital contribution investment activities of project at 11 Doan Van </w:t>
            </w:r>
            <w:r w:rsidRPr="00BD4822">
              <w:rPr>
                <w:rFonts w:ascii="Arial" w:hAnsi="Arial"/>
                <w:sz w:val="20"/>
              </w:rPr>
              <w:lastRenderedPageBreak/>
              <w:t>Bo, District 4.</w:t>
            </w:r>
          </w:p>
        </w:tc>
        <w:tc>
          <w:tcPr>
            <w:tcW w:w="1728" w:type="dxa"/>
            <w:shd w:val="clear" w:color="auto" w:fill="auto"/>
            <w:tcMar>
              <w:top w:w="0" w:type="dxa"/>
              <w:bottom w:w="0" w:type="dxa"/>
            </w:tcMar>
            <w:vAlign w:val="center"/>
          </w:tcPr>
          <w:p w14:paraId="412F84A0"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lastRenderedPageBreak/>
              <w:t>92,531,342,374</w:t>
            </w:r>
          </w:p>
        </w:tc>
        <w:tc>
          <w:tcPr>
            <w:tcW w:w="2126" w:type="dxa"/>
            <w:shd w:val="clear" w:color="auto" w:fill="auto"/>
            <w:tcMar>
              <w:top w:w="0" w:type="dxa"/>
              <w:bottom w:w="0" w:type="dxa"/>
            </w:tcMar>
            <w:vAlign w:val="center"/>
          </w:tcPr>
          <w:p w14:paraId="56FFBE86"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 xml:space="preserve">Dividends received from Song Mai </w:t>
            </w:r>
            <w:r w:rsidRPr="00BD4822">
              <w:rPr>
                <w:rFonts w:ascii="Arial" w:hAnsi="Arial"/>
                <w:sz w:val="20"/>
              </w:rPr>
              <w:lastRenderedPageBreak/>
              <w:t>Company</w:t>
            </w:r>
          </w:p>
        </w:tc>
      </w:tr>
      <w:tr w:rsidR="001A11BC" w:rsidRPr="00BD4822" w14:paraId="2062ABE8" w14:textId="77777777">
        <w:tc>
          <w:tcPr>
            <w:tcW w:w="687" w:type="dxa"/>
            <w:shd w:val="clear" w:color="auto" w:fill="auto"/>
            <w:tcMar>
              <w:top w:w="0" w:type="dxa"/>
              <w:bottom w:w="0" w:type="dxa"/>
            </w:tcMar>
            <w:vAlign w:val="center"/>
          </w:tcPr>
          <w:p w14:paraId="38EACA96"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lastRenderedPageBreak/>
              <w:t>2</w:t>
            </w:r>
          </w:p>
        </w:tc>
        <w:tc>
          <w:tcPr>
            <w:tcW w:w="4476" w:type="dxa"/>
            <w:shd w:val="clear" w:color="auto" w:fill="auto"/>
            <w:tcMar>
              <w:top w:w="0" w:type="dxa"/>
              <w:bottom w:w="0" w:type="dxa"/>
            </w:tcMar>
            <w:vAlign w:val="center"/>
          </w:tcPr>
          <w:p w14:paraId="226AA1E1"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Current corporate income tax expense</w:t>
            </w:r>
          </w:p>
        </w:tc>
        <w:tc>
          <w:tcPr>
            <w:tcW w:w="1728" w:type="dxa"/>
            <w:shd w:val="clear" w:color="auto" w:fill="auto"/>
            <w:tcMar>
              <w:top w:w="0" w:type="dxa"/>
              <w:bottom w:w="0" w:type="dxa"/>
            </w:tcMar>
            <w:vAlign w:val="center"/>
          </w:tcPr>
          <w:p w14:paraId="6FD0EFDB"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210,287,621</w:t>
            </w:r>
          </w:p>
        </w:tc>
        <w:tc>
          <w:tcPr>
            <w:tcW w:w="2126" w:type="dxa"/>
            <w:shd w:val="clear" w:color="auto" w:fill="auto"/>
            <w:tcMar>
              <w:top w:w="0" w:type="dxa"/>
              <w:bottom w:w="0" w:type="dxa"/>
            </w:tcMar>
            <w:vAlign w:val="center"/>
          </w:tcPr>
          <w:p w14:paraId="3D8E8A76"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507B1926" w14:textId="77777777">
        <w:tc>
          <w:tcPr>
            <w:tcW w:w="687" w:type="dxa"/>
            <w:shd w:val="clear" w:color="auto" w:fill="auto"/>
            <w:tcMar>
              <w:top w:w="0" w:type="dxa"/>
              <w:bottom w:w="0" w:type="dxa"/>
            </w:tcMar>
            <w:vAlign w:val="center"/>
          </w:tcPr>
          <w:p w14:paraId="0469B15C"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3</w:t>
            </w:r>
          </w:p>
        </w:tc>
        <w:tc>
          <w:tcPr>
            <w:tcW w:w="4476" w:type="dxa"/>
            <w:shd w:val="clear" w:color="auto" w:fill="auto"/>
            <w:tcMar>
              <w:top w:w="0" w:type="dxa"/>
              <w:bottom w:w="0" w:type="dxa"/>
            </w:tcMar>
            <w:vAlign w:val="center"/>
          </w:tcPr>
          <w:p w14:paraId="65C5D43C"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Profit after tax</w:t>
            </w:r>
          </w:p>
        </w:tc>
        <w:tc>
          <w:tcPr>
            <w:tcW w:w="1728" w:type="dxa"/>
            <w:shd w:val="clear" w:color="auto" w:fill="auto"/>
            <w:tcMar>
              <w:top w:w="0" w:type="dxa"/>
              <w:bottom w:w="0" w:type="dxa"/>
            </w:tcMar>
            <w:vAlign w:val="center"/>
          </w:tcPr>
          <w:p w14:paraId="716BFC60"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94,339,996,427</w:t>
            </w:r>
          </w:p>
        </w:tc>
        <w:tc>
          <w:tcPr>
            <w:tcW w:w="2126" w:type="dxa"/>
            <w:shd w:val="clear" w:color="auto" w:fill="auto"/>
            <w:tcMar>
              <w:top w:w="0" w:type="dxa"/>
              <w:bottom w:w="0" w:type="dxa"/>
            </w:tcMar>
            <w:vAlign w:val="center"/>
          </w:tcPr>
          <w:p w14:paraId="56BDF55F"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4738F114" w14:textId="77777777">
        <w:tc>
          <w:tcPr>
            <w:tcW w:w="687" w:type="dxa"/>
            <w:shd w:val="clear" w:color="auto" w:fill="auto"/>
            <w:tcMar>
              <w:top w:w="0" w:type="dxa"/>
              <w:bottom w:w="0" w:type="dxa"/>
            </w:tcMar>
            <w:vAlign w:val="center"/>
          </w:tcPr>
          <w:p w14:paraId="1D80A644"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6B7741E9"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 Profit after tax from main production and business activities</w:t>
            </w:r>
          </w:p>
        </w:tc>
        <w:tc>
          <w:tcPr>
            <w:tcW w:w="1728" w:type="dxa"/>
            <w:shd w:val="clear" w:color="auto" w:fill="auto"/>
            <w:tcMar>
              <w:top w:w="0" w:type="dxa"/>
              <w:bottom w:w="0" w:type="dxa"/>
            </w:tcMar>
            <w:vAlign w:val="center"/>
          </w:tcPr>
          <w:p w14:paraId="59288539"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1,808,654,053</w:t>
            </w:r>
          </w:p>
        </w:tc>
        <w:tc>
          <w:tcPr>
            <w:tcW w:w="2126" w:type="dxa"/>
            <w:shd w:val="clear" w:color="auto" w:fill="auto"/>
            <w:tcMar>
              <w:top w:w="0" w:type="dxa"/>
              <w:bottom w:w="0" w:type="dxa"/>
            </w:tcMar>
            <w:vAlign w:val="center"/>
          </w:tcPr>
          <w:p w14:paraId="028BC609"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79553D09" w14:textId="77777777">
        <w:tc>
          <w:tcPr>
            <w:tcW w:w="687" w:type="dxa"/>
            <w:shd w:val="clear" w:color="auto" w:fill="auto"/>
            <w:tcMar>
              <w:top w:w="0" w:type="dxa"/>
              <w:bottom w:w="0" w:type="dxa"/>
            </w:tcMar>
            <w:vAlign w:val="center"/>
          </w:tcPr>
          <w:p w14:paraId="6E8573BE"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10B62AF3"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 Profit after tax from capital investment activities</w:t>
            </w:r>
          </w:p>
        </w:tc>
        <w:tc>
          <w:tcPr>
            <w:tcW w:w="1728" w:type="dxa"/>
            <w:shd w:val="clear" w:color="auto" w:fill="auto"/>
            <w:tcMar>
              <w:top w:w="0" w:type="dxa"/>
              <w:bottom w:w="0" w:type="dxa"/>
            </w:tcMar>
            <w:vAlign w:val="center"/>
          </w:tcPr>
          <w:p w14:paraId="379A678C"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92,531,342,374</w:t>
            </w:r>
          </w:p>
        </w:tc>
        <w:tc>
          <w:tcPr>
            <w:tcW w:w="2126" w:type="dxa"/>
            <w:shd w:val="clear" w:color="auto" w:fill="auto"/>
            <w:tcMar>
              <w:top w:w="0" w:type="dxa"/>
              <w:bottom w:w="0" w:type="dxa"/>
            </w:tcMar>
            <w:vAlign w:val="center"/>
          </w:tcPr>
          <w:p w14:paraId="39833356"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Dividends received from Song Mai Company</w:t>
            </w:r>
          </w:p>
        </w:tc>
      </w:tr>
      <w:tr w:rsidR="001A11BC" w:rsidRPr="00BD4822" w14:paraId="5504D73D" w14:textId="77777777">
        <w:tc>
          <w:tcPr>
            <w:tcW w:w="687" w:type="dxa"/>
            <w:shd w:val="clear" w:color="auto" w:fill="auto"/>
            <w:tcMar>
              <w:top w:w="0" w:type="dxa"/>
              <w:bottom w:w="0" w:type="dxa"/>
            </w:tcMar>
            <w:vAlign w:val="center"/>
          </w:tcPr>
          <w:p w14:paraId="56137775"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4</w:t>
            </w:r>
          </w:p>
        </w:tc>
        <w:tc>
          <w:tcPr>
            <w:tcW w:w="4476" w:type="dxa"/>
            <w:shd w:val="clear" w:color="auto" w:fill="auto"/>
            <w:tcMar>
              <w:top w:w="0" w:type="dxa"/>
              <w:bottom w:w="0" w:type="dxa"/>
            </w:tcMar>
            <w:vAlign w:val="center"/>
          </w:tcPr>
          <w:p w14:paraId="43DAA0A4"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Appropriation for funds</w:t>
            </w:r>
          </w:p>
        </w:tc>
        <w:tc>
          <w:tcPr>
            <w:tcW w:w="1728" w:type="dxa"/>
            <w:shd w:val="clear" w:color="auto" w:fill="auto"/>
            <w:tcMar>
              <w:top w:w="0" w:type="dxa"/>
              <w:bottom w:w="0" w:type="dxa"/>
            </w:tcMar>
            <w:vAlign w:val="center"/>
          </w:tcPr>
          <w:p w14:paraId="355184F4"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13664229"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1ADC57D2" w14:textId="77777777">
        <w:tc>
          <w:tcPr>
            <w:tcW w:w="687" w:type="dxa"/>
            <w:shd w:val="clear" w:color="auto" w:fill="auto"/>
            <w:tcMar>
              <w:top w:w="0" w:type="dxa"/>
              <w:bottom w:w="0" w:type="dxa"/>
            </w:tcMar>
            <w:vAlign w:val="center"/>
          </w:tcPr>
          <w:p w14:paraId="35C22FC7"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75AFBF5B"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a. Investment and development fund</w:t>
            </w:r>
          </w:p>
        </w:tc>
        <w:tc>
          <w:tcPr>
            <w:tcW w:w="1728" w:type="dxa"/>
            <w:shd w:val="clear" w:color="auto" w:fill="auto"/>
            <w:tcMar>
              <w:top w:w="0" w:type="dxa"/>
              <w:bottom w:w="0" w:type="dxa"/>
            </w:tcMar>
            <w:vAlign w:val="center"/>
          </w:tcPr>
          <w:p w14:paraId="724CECA2"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0C1EF652"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583A5D43" w14:textId="77777777">
        <w:tc>
          <w:tcPr>
            <w:tcW w:w="687" w:type="dxa"/>
            <w:shd w:val="clear" w:color="auto" w:fill="auto"/>
            <w:tcMar>
              <w:top w:w="0" w:type="dxa"/>
              <w:bottom w:w="0" w:type="dxa"/>
            </w:tcMar>
            <w:vAlign w:val="center"/>
          </w:tcPr>
          <w:p w14:paraId="1221D754" w14:textId="77777777" w:rsidR="001A11BC" w:rsidRPr="00BD4822" w:rsidRDefault="001A11BC" w:rsidP="009B7183">
            <w:pPr>
              <w:tabs>
                <w:tab w:val="left" w:pos="567"/>
              </w:tabs>
              <w:spacing w:after="120" w:line="360" w:lineRule="auto"/>
              <w:rPr>
                <w:rFonts w:ascii="Arial" w:eastAsia="Arial" w:hAnsi="Arial" w:cs="Arial"/>
                <w:sz w:val="20"/>
                <w:szCs w:val="20"/>
              </w:rPr>
            </w:pPr>
          </w:p>
        </w:tc>
        <w:tc>
          <w:tcPr>
            <w:tcW w:w="4476" w:type="dxa"/>
            <w:shd w:val="clear" w:color="auto" w:fill="auto"/>
            <w:tcMar>
              <w:top w:w="0" w:type="dxa"/>
              <w:bottom w:w="0" w:type="dxa"/>
            </w:tcMar>
            <w:vAlign w:val="center"/>
          </w:tcPr>
          <w:p w14:paraId="374E624B"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b. Bonus and welfare fund</w:t>
            </w:r>
          </w:p>
        </w:tc>
        <w:tc>
          <w:tcPr>
            <w:tcW w:w="1728" w:type="dxa"/>
            <w:shd w:val="clear" w:color="auto" w:fill="auto"/>
            <w:tcMar>
              <w:top w:w="0" w:type="dxa"/>
              <w:bottom w:w="0" w:type="dxa"/>
            </w:tcMar>
            <w:vAlign w:val="center"/>
          </w:tcPr>
          <w:p w14:paraId="551DBA9A"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708C7A3D"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4CCC4772" w14:textId="77777777">
        <w:tc>
          <w:tcPr>
            <w:tcW w:w="687" w:type="dxa"/>
            <w:shd w:val="clear" w:color="auto" w:fill="auto"/>
            <w:tcMar>
              <w:top w:w="0" w:type="dxa"/>
              <w:bottom w:w="0" w:type="dxa"/>
            </w:tcMar>
            <w:vAlign w:val="center"/>
          </w:tcPr>
          <w:p w14:paraId="5218AAC8"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5</w:t>
            </w:r>
          </w:p>
        </w:tc>
        <w:tc>
          <w:tcPr>
            <w:tcW w:w="4476" w:type="dxa"/>
            <w:shd w:val="clear" w:color="auto" w:fill="auto"/>
            <w:tcMar>
              <w:top w:w="0" w:type="dxa"/>
              <w:bottom w:w="0" w:type="dxa"/>
            </w:tcMar>
            <w:vAlign w:val="center"/>
          </w:tcPr>
          <w:p w14:paraId="175C9386"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Remaining profit offsetting the previous year's accumulated losses</w:t>
            </w:r>
          </w:p>
        </w:tc>
        <w:tc>
          <w:tcPr>
            <w:tcW w:w="1728" w:type="dxa"/>
            <w:shd w:val="clear" w:color="auto" w:fill="auto"/>
            <w:tcMar>
              <w:top w:w="0" w:type="dxa"/>
              <w:bottom w:w="0" w:type="dxa"/>
            </w:tcMar>
            <w:vAlign w:val="center"/>
          </w:tcPr>
          <w:p w14:paraId="55943F7D"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33548703"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The accumulated amount of the previous year is VND7,843,690,161</w:t>
            </w:r>
          </w:p>
        </w:tc>
      </w:tr>
      <w:tr w:rsidR="001A11BC" w:rsidRPr="00BD4822" w14:paraId="00FEA4EE" w14:textId="77777777">
        <w:tc>
          <w:tcPr>
            <w:tcW w:w="687" w:type="dxa"/>
            <w:shd w:val="clear" w:color="auto" w:fill="auto"/>
            <w:tcMar>
              <w:top w:w="0" w:type="dxa"/>
              <w:bottom w:w="0" w:type="dxa"/>
            </w:tcMar>
            <w:vAlign w:val="center"/>
          </w:tcPr>
          <w:p w14:paraId="53DDB395"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6</w:t>
            </w:r>
          </w:p>
        </w:tc>
        <w:tc>
          <w:tcPr>
            <w:tcW w:w="4476" w:type="dxa"/>
            <w:shd w:val="clear" w:color="auto" w:fill="auto"/>
            <w:tcMar>
              <w:top w:w="0" w:type="dxa"/>
              <w:bottom w:w="0" w:type="dxa"/>
            </w:tcMar>
            <w:vAlign w:val="center"/>
          </w:tcPr>
          <w:p w14:paraId="7B3F4CCB"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Remaining profit after appropriation for funds</w:t>
            </w:r>
          </w:p>
        </w:tc>
        <w:tc>
          <w:tcPr>
            <w:tcW w:w="1728" w:type="dxa"/>
            <w:shd w:val="clear" w:color="auto" w:fill="auto"/>
            <w:tcMar>
              <w:top w:w="0" w:type="dxa"/>
              <w:bottom w:w="0" w:type="dxa"/>
            </w:tcMar>
            <w:vAlign w:val="center"/>
          </w:tcPr>
          <w:p w14:paraId="4671F6A4"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1D0FC4D3"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632F115F" w14:textId="77777777">
        <w:tc>
          <w:tcPr>
            <w:tcW w:w="687" w:type="dxa"/>
            <w:shd w:val="clear" w:color="auto" w:fill="auto"/>
            <w:tcMar>
              <w:top w:w="0" w:type="dxa"/>
              <w:bottom w:w="0" w:type="dxa"/>
            </w:tcMar>
            <w:vAlign w:val="center"/>
          </w:tcPr>
          <w:p w14:paraId="4409DC82"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7</w:t>
            </w:r>
          </w:p>
        </w:tc>
        <w:tc>
          <w:tcPr>
            <w:tcW w:w="4476" w:type="dxa"/>
            <w:shd w:val="clear" w:color="auto" w:fill="auto"/>
            <w:tcMar>
              <w:top w:w="0" w:type="dxa"/>
              <w:bottom w:w="0" w:type="dxa"/>
            </w:tcMar>
            <w:vAlign w:val="center"/>
          </w:tcPr>
          <w:p w14:paraId="495D3AD9"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Profit used to pay dividends in 2023</w:t>
            </w:r>
          </w:p>
        </w:tc>
        <w:tc>
          <w:tcPr>
            <w:tcW w:w="1728" w:type="dxa"/>
            <w:shd w:val="clear" w:color="auto" w:fill="auto"/>
            <w:tcMar>
              <w:top w:w="0" w:type="dxa"/>
              <w:bottom w:w="0" w:type="dxa"/>
            </w:tcMar>
            <w:vAlign w:val="center"/>
          </w:tcPr>
          <w:p w14:paraId="18A7710C"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6AA8A782"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BD4822" w14:paraId="64BFE021" w14:textId="77777777">
        <w:tc>
          <w:tcPr>
            <w:tcW w:w="687" w:type="dxa"/>
            <w:shd w:val="clear" w:color="auto" w:fill="auto"/>
            <w:tcMar>
              <w:top w:w="0" w:type="dxa"/>
              <w:bottom w:w="0" w:type="dxa"/>
            </w:tcMar>
            <w:vAlign w:val="center"/>
          </w:tcPr>
          <w:p w14:paraId="1FBA5FFA"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8</w:t>
            </w:r>
          </w:p>
        </w:tc>
        <w:tc>
          <w:tcPr>
            <w:tcW w:w="4476" w:type="dxa"/>
            <w:shd w:val="clear" w:color="auto" w:fill="auto"/>
            <w:tcMar>
              <w:top w:w="0" w:type="dxa"/>
              <w:bottom w:w="0" w:type="dxa"/>
            </w:tcMar>
            <w:vAlign w:val="center"/>
          </w:tcPr>
          <w:p w14:paraId="4C00B3F7"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Dividends in cash</w:t>
            </w:r>
          </w:p>
        </w:tc>
        <w:tc>
          <w:tcPr>
            <w:tcW w:w="1728" w:type="dxa"/>
            <w:shd w:val="clear" w:color="auto" w:fill="auto"/>
            <w:tcMar>
              <w:top w:w="0" w:type="dxa"/>
              <w:bottom w:w="0" w:type="dxa"/>
            </w:tcMar>
            <w:vAlign w:val="center"/>
          </w:tcPr>
          <w:p w14:paraId="5204E2C5" w14:textId="77777777" w:rsidR="001A11BC" w:rsidRPr="00BD4822"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sidRPr="00BD4822">
              <w:rPr>
                <w:rFonts w:ascii="Arial" w:hAnsi="Arial"/>
                <w:sz w:val="20"/>
              </w:rPr>
              <w:t>0</w:t>
            </w:r>
          </w:p>
        </w:tc>
        <w:tc>
          <w:tcPr>
            <w:tcW w:w="2126" w:type="dxa"/>
            <w:shd w:val="clear" w:color="auto" w:fill="auto"/>
            <w:tcMar>
              <w:top w:w="0" w:type="dxa"/>
              <w:bottom w:w="0" w:type="dxa"/>
            </w:tcMar>
            <w:vAlign w:val="center"/>
          </w:tcPr>
          <w:p w14:paraId="207C89D1" w14:textId="77777777" w:rsidR="001A11BC" w:rsidRPr="00BD4822" w:rsidRDefault="001A11BC" w:rsidP="009B7183">
            <w:pPr>
              <w:tabs>
                <w:tab w:val="left" w:pos="567"/>
              </w:tabs>
              <w:spacing w:after="120" w:line="360" w:lineRule="auto"/>
              <w:rPr>
                <w:rFonts w:ascii="Arial" w:eastAsia="Arial" w:hAnsi="Arial" w:cs="Arial"/>
                <w:sz w:val="20"/>
                <w:szCs w:val="20"/>
              </w:rPr>
            </w:pPr>
          </w:p>
        </w:tc>
      </w:tr>
      <w:tr w:rsidR="001A11BC" w:rsidRPr="00526113" w14:paraId="386D84F8" w14:textId="77777777">
        <w:tc>
          <w:tcPr>
            <w:tcW w:w="687" w:type="dxa"/>
            <w:shd w:val="clear" w:color="auto" w:fill="auto"/>
            <w:tcMar>
              <w:top w:w="0" w:type="dxa"/>
              <w:bottom w:w="0" w:type="dxa"/>
            </w:tcMar>
            <w:vAlign w:val="center"/>
          </w:tcPr>
          <w:p w14:paraId="30063D96" w14:textId="77777777" w:rsidR="001A11BC" w:rsidRPr="00526113"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highlight w:val="yellow"/>
              </w:rPr>
            </w:pPr>
            <w:r w:rsidRPr="00526113">
              <w:rPr>
                <w:rFonts w:ascii="Arial" w:hAnsi="Arial"/>
                <w:sz w:val="20"/>
                <w:highlight w:val="yellow"/>
              </w:rPr>
              <w:t>9</w:t>
            </w:r>
          </w:p>
        </w:tc>
        <w:tc>
          <w:tcPr>
            <w:tcW w:w="4476" w:type="dxa"/>
            <w:shd w:val="clear" w:color="auto" w:fill="auto"/>
            <w:tcMar>
              <w:top w:w="0" w:type="dxa"/>
              <w:bottom w:w="0" w:type="dxa"/>
            </w:tcMar>
            <w:vAlign w:val="center"/>
          </w:tcPr>
          <w:p w14:paraId="7A757709" w14:textId="77777777" w:rsidR="001A11BC" w:rsidRPr="00526113"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highlight w:val="yellow"/>
              </w:rPr>
            </w:pPr>
            <w:r w:rsidRPr="00526113">
              <w:rPr>
                <w:rFonts w:ascii="Arial" w:hAnsi="Arial"/>
                <w:sz w:val="20"/>
                <w:highlight w:val="yellow"/>
              </w:rPr>
              <w:t>Dividend rate (%) in 2023</w:t>
            </w:r>
          </w:p>
        </w:tc>
        <w:tc>
          <w:tcPr>
            <w:tcW w:w="1728" w:type="dxa"/>
            <w:shd w:val="clear" w:color="auto" w:fill="auto"/>
            <w:tcMar>
              <w:top w:w="0" w:type="dxa"/>
              <w:bottom w:w="0" w:type="dxa"/>
            </w:tcMar>
            <w:vAlign w:val="center"/>
          </w:tcPr>
          <w:p w14:paraId="0764826B" w14:textId="77777777" w:rsidR="001A11BC" w:rsidRPr="00526113"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highlight w:val="yellow"/>
              </w:rPr>
            </w:pPr>
            <w:r w:rsidRPr="00526113">
              <w:rPr>
                <w:rFonts w:ascii="Arial" w:hAnsi="Arial"/>
                <w:sz w:val="20"/>
                <w:highlight w:val="yellow"/>
              </w:rPr>
              <w:t>0</w:t>
            </w:r>
          </w:p>
        </w:tc>
        <w:tc>
          <w:tcPr>
            <w:tcW w:w="2126" w:type="dxa"/>
            <w:shd w:val="clear" w:color="auto" w:fill="auto"/>
            <w:tcMar>
              <w:top w:w="0" w:type="dxa"/>
              <w:bottom w:w="0" w:type="dxa"/>
            </w:tcMar>
            <w:vAlign w:val="center"/>
          </w:tcPr>
          <w:p w14:paraId="35EBF6F2" w14:textId="77777777" w:rsidR="001A11BC" w:rsidRPr="00526113" w:rsidRDefault="001A11BC" w:rsidP="009B7183">
            <w:pPr>
              <w:tabs>
                <w:tab w:val="left" w:pos="567"/>
              </w:tabs>
              <w:spacing w:after="120" w:line="360" w:lineRule="auto"/>
              <w:rPr>
                <w:rFonts w:ascii="Arial" w:eastAsia="Arial" w:hAnsi="Arial" w:cs="Arial"/>
                <w:sz w:val="20"/>
                <w:szCs w:val="20"/>
                <w:highlight w:val="yellow"/>
              </w:rPr>
            </w:pPr>
          </w:p>
        </w:tc>
      </w:tr>
    </w:tbl>
    <w:p w14:paraId="5C92FCE0" w14:textId="2513AFC2" w:rsidR="001A11BC" w:rsidRDefault="009B7183" w:rsidP="009B7183">
      <w:pPr>
        <w:numPr>
          <w:ilvl w:val="0"/>
          <w:numId w:val="8"/>
        </w:numPr>
        <w:pBdr>
          <w:top w:val="nil"/>
          <w:left w:val="nil"/>
          <w:bottom w:val="nil"/>
          <w:right w:val="nil"/>
          <w:between w:val="nil"/>
        </w:pBdr>
        <w:tabs>
          <w:tab w:val="left" w:pos="567"/>
          <w:tab w:val="left" w:pos="1587"/>
        </w:tabs>
        <w:spacing w:after="120" w:line="360" w:lineRule="auto"/>
        <w:rPr>
          <w:rFonts w:ascii="Arial" w:eastAsia="Arial" w:hAnsi="Arial" w:cs="Arial"/>
          <w:sz w:val="20"/>
          <w:szCs w:val="20"/>
        </w:rPr>
      </w:pPr>
      <w:r>
        <w:rPr>
          <w:rFonts w:ascii="Arial" w:hAnsi="Arial"/>
          <w:sz w:val="20"/>
        </w:rPr>
        <w:t>Approve the Proposal on remuneration in 2023 and estimated remuneration in 2024 for the Board of Directors and the Supervisory Board. Specifically,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6687"/>
        <w:gridCol w:w="1648"/>
      </w:tblGrid>
      <w:tr w:rsidR="001A11BC" w14:paraId="68E9682C" w14:textId="77777777">
        <w:tc>
          <w:tcPr>
            <w:tcW w:w="682" w:type="dxa"/>
            <w:shd w:val="clear" w:color="auto" w:fill="auto"/>
            <w:tcMar>
              <w:top w:w="0" w:type="dxa"/>
              <w:bottom w:w="0" w:type="dxa"/>
            </w:tcMar>
            <w:vAlign w:val="center"/>
          </w:tcPr>
          <w:p w14:paraId="0DFC14F7"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No.</w:t>
            </w:r>
          </w:p>
        </w:tc>
        <w:tc>
          <w:tcPr>
            <w:tcW w:w="6687" w:type="dxa"/>
            <w:shd w:val="clear" w:color="auto" w:fill="auto"/>
            <w:tcMar>
              <w:top w:w="0" w:type="dxa"/>
              <w:bottom w:w="0" w:type="dxa"/>
            </w:tcMar>
            <w:vAlign w:val="center"/>
          </w:tcPr>
          <w:p w14:paraId="1ABCF750"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Target</w:t>
            </w:r>
          </w:p>
        </w:tc>
        <w:tc>
          <w:tcPr>
            <w:tcW w:w="1648" w:type="dxa"/>
            <w:shd w:val="clear" w:color="auto" w:fill="auto"/>
            <w:tcMar>
              <w:top w:w="0" w:type="dxa"/>
              <w:bottom w:w="0" w:type="dxa"/>
            </w:tcMar>
            <w:vAlign w:val="center"/>
          </w:tcPr>
          <w:p w14:paraId="5E6878A6"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Amount (VND)</w:t>
            </w:r>
          </w:p>
        </w:tc>
      </w:tr>
      <w:tr w:rsidR="001A11BC" w14:paraId="12B49865" w14:textId="77777777">
        <w:tc>
          <w:tcPr>
            <w:tcW w:w="682" w:type="dxa"/>
            <w:shd w:val="clear" w:color="auto" w:fill="auto"/>
            <w:tcMar>
              <w:top w:w="0" w:type="dxa"/>
              <w:bottom w:w="0" w:type="dxa"/>
            </w:tcMar>
            <w:vAlign w:val="center"/>
          </w:tcPr>
          <w:p w14:paraId="5D4E4117"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A</w:t>
            </w:r>
          </w:p>
        </w:tc>
        <w:tc>
          <w:tcPr>
            <w:tcW w:w="6687" w:type="dxa"/>
            <w:shd w:val="clear" w:color="auto" w:fill="auto"/>
            <w:tcMar>
              <w:top w:w="0" w:type="dxa"/>
              <w:bottom w:w="0" w:type="dxa"/>
            </w:tcMar>
            <w:vAlign w:val="center"/>
          </w:tcPr>
          <w:p w14:paraId="1E23F8C8"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Remuneration and salary realized in 2023 for the Board of Directors and the Supervisory Board:</w:t>
            </w:r>
          </w:p>
        </w:tc>
        <w:tc>
          <w:tcPr>
            <w:tcW w:w="1648" w:type="dxa"/>
            <w:shd w:val="clear" w:color="auto" w:fill="auto"/>
            <w:tcMar>
              <w:top w:w="0" w:type="dxa"/>
              <w:bottom w:w="0" w:type="dxa"/>
            </w:tcMar>
            <w:vAlign w:val="center"/>
          </w:tcPr>
          <w:p w14:paraId="650BD9EF" w14:textId="77777777" w:rsidR="001A11BC" w:rsidRDefault="001A11BC" w:rsidP="009B7183">
            <w:pPr>
              <w:tabs>
                <w:tab w:val="left" w:pos="567"/>
              </w:tabs>
              <w:spacing w:after="120" w:line="360" w:lineRule="auto"/>
              <w:rPr>
                <w:rFonts w:ascii="Arial" w:eastAsia="Arial" w:hAnsi="Arial" w:cs="Arial"/>
                <w:sz w:val="20"/>
                <w:szCs w:val="20"/>
              </w:rPr>
            </w:pPr>
          </w:p>
        </w:tc>
      </w:tr>
      <w:tr w:rsidR="001A11BC" w14:paraId="4AA38E42" w14:textId="77777777">
        <w:tc>
          <w:tcPr>
            <w:tcW w:w="682" w:type="dxa"/>
            <w:shd w:val="clear" w:color="auto" w:fill="auto"/>
            <w:tcMar>
              <w:top w:w="0" w:type="dxa"/>
              <w:bottom w:w="0" w:type="dxa"/>
            </w:tcMar>
            <w:vAlign w:val="center"/>
          </w:tcPr>
          <w:p w14:paraId="354703C1"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6687" w:type="dxa"/>
            <w:shd w:val="clear" w:color="auto" w:fill="auto"/>
            <w:tcMar>
              <w:top w:w="0" w:type="dxa"/>
              <w:bottom w:w="0" w:type="dxa"/>
            </w:tcMar>
            <w:vAlign w:val="center"/>
          </w:tcPr>
          <w:p w14:paraId="0067CB46"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Remuneration realized in 2023:</w:t>
            </w:r>
          </w:p>
        </w:tc>
        <w:tc>
          <w:tcPr>
            <w:tcW w:w="1648" w:type="dxa"/>
            <w:shd w:val="clear" w:color="auto" w:fill="auto"/>
            <w:tcMar>
              <w:top w:w="0" w:type="dxa"/>
              <w:bottom w:w="0" w:type="dxa"/>
            </w:tcMar>
            <w:vAlign w:val="center"/>
          </w:tcPr>
          <w:p w14:paraId="28EDECD6"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178,320,000</w:t>
            </w:r>
          </w:p>
        </w:tc>
      </w:tr>
      <w:tr w:rsidR="001A11BC" w14:paraId="2BAA6D9C" w14:textId="77777777">
        <w:tc>
          <w:tcPr>
            <w:tcW w:w="682" w:type="dxa"/>
            <w:shd w:val="clear" w:color="auto" w:fill="auto"/>
            <w:tcMar>
              <w:top w:w="0" w:type="dxa"/>
              <w:bottom w:w="0" w:type="dxa"/>
            </w:tcMar>
            <w:vAlign w:val="center"/>
          </w:tcPr>
          <w:p w14:paraId="7F954AE5"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w:t>
            </w:r>
          </w:p>
        </w:tc>
        <w:tc>
          <w:tcPr>
            <w:tcW w:w="6687" w:type="dxa"/>
            <w:shd w:val="clear" w:color="auto" w:fill="auto"/>
            <w:tcMar>
              <w:top w:w="0" w:type="dxa"/>
              <w:bottom w:w="0" w:type="dxa"/>
            </w:tcMar>
            <w:vAlign w:val="center"/>
          </w:tcPr>
          <w:p w14:paraId="1D6739FD"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Board of Directors</w:t>
            </w:r>
          </w:p>
          <w:p w14:paraId="1C28700F" w14:textId="77777777" w:rsidR="001A11BC" w:rsidRDefault="009B7183" w:rsidP="009B7183">
            <w:pPr>
              <w:numPr>
                <w:ilvl w:val="0"/>
                <w:numId w:val="1"/>
              </w:numPr>
              <w:pBdr>
                <w:top w:val="nil"/>
                <w:left w:val="nil"/>
                <w:bottom w:val="nil"/>
                <w:right w:val="nil"/>
                <w:between w:val="nil"/>
              </w:pBdr>
              <w:tabs>
                <w:tab w:val="left" w:pos="144"/>
                <w:tab w:val="left" w:pos="567"/>
              </w:tabs>
              <w:spacing w:after="120" w:line="360" w:lineRule="auto"/>
              <w:rPr>
                <w:rFonts w:ascii="Arial" w:eastAsia="Arial" w:hAnsi="Arial" w:cs="Arial"/>
                <w:sz w:val="20"/>
                <w:szCs w:val="20"/>
              </w:rPr>
            </w:pPr>
            <w:r>
              <w:rPr>
                <w:rFonts w:ascii="Arial" w:hAnsi="Arial"/>
                <w:sz w:val="20"/>
              </w:rPr>
              <w:t>Chair of the Board of Directors: 3,450,000 X 1 X 12 =</w:t>
            </w:r>
          </w:p>
          <w:p w14:paraId="565FBE6C" w14:textId="77777777" w:rsidR="001A11BC" w:rsidRDefault="009B7183" w:rsidP="009B7183">
            <w:pPr>
              <w:numPr>
                <w:ilvl w:val="0"/>
                <w:numId w:val="1"/>
              </w:numPr>
              <w:pBdr>
                <w:top w:val="nil"/>
                <w:left w:val="nil"/>
                <w:bottom w:val="nil"/>
                <w:right w:val="nil"/>
                <w:between w:val="nil"/>
              </w:pBdr>
              <w:tabs>
                <w:tab w:val="left" w:pos="144"/>
                <w:tab w:val="left" w:pos="567"/>
              </w:tabs>
              <w:spacing w:after="120" w:line="360" w:lineRule="auto"/>
              <w:rPr>
                <w:rFonts w:ascii="Arial" w:eastAsia="Arial" w:hAnsi="Arial" w:cs="Arial"/>
                <w:sz w:val="20"/>
                <w:szCs w:val="20"/>
              </w:rPr>
            </w:pPr>
            <w:r>
              <w:rPr>
                <w:rFonts w:ascii="Arial" w:hAnsi="Arial"/>
                <w:sz w:val="20"/>
              </w:rPr>
              <w:t>Member of the Board of Directors: (3 persons): (2,160,000 X 12 X 3) =</w:t>
            </w:r>
          </w:p>
        </w:tc>
        <w:tc>
          <w:tcPr>
            <w:tcW w:w="1648" w:type="dxa"/>
            <w:shd w:val="clear" w:color="auto" w:fill="auto"/>
            <w:tcMar>
              <w:top w:w="0" w:type="dxa"/>
              <w:bottom w:w="0" w:type="dxa"/>
            </w:tcMar>
            <w:vAlign w:val="center"/>
          </w:tcPr>
          <w:p w14:paraId="3219204F"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119,160,000</w:t>
            </w:r>
          </w:p>
          <w:p w14:paraId="08F93FD5"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41,400,000</w:t>
            </w:r>
          </w:p>
          <w:p w14:paraId="5D128CA5"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77,760,000</w:t>
            </w:r>
          </w:p>
        </w:tc>
      </w:tr>
      <w:tr w:rsidR="001A11BC" w14:paraId="363AA347" w14:textId="77777777">
        <w:tc>
          <w:tcPr>
            <w:tcW w:w="682" w:type="dxa"/>
            <w:shd w:val="clear" w:color="auto" w:fill="auto"/>
            <w:tcMar>
              <w:top w:w="0" w:type="dxa"/>
              <w:bottom w:w="0" w:type="dxa"/>
            </w:tcMar>
            <w:vAlign w:val="center"/>
          </w:tcPr>
          <w:p w14:paraId="443BC114"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w:t>
            </w:r>
          </w:p>
        </w:tc>
        <w:tc>
          <w:tcPr>
            <w:tcW w:w="6687" w:type="dxa"/>
            <w:shd w:val="clear" w:color="auto" w:fill="auto"/>
            <w:tcMar>
              <w:top w:w="0" w:type="dxa"/>
              <w:bottom w:w="0" w:type="dxa"/>
            </w:tcMar>
            <w:vAlign w:val="center"/>
          </w:tcPr>
          <w:p w14:paraId="436AFA13"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Supervisory Board</w:t>
            </w:r>
          </w:p>
        </w:tc>
        <w:tc>
          <w:tcPr>
            <w:tcW w:w="1648" w:type="dxa"/>
            <w:shd w:val="clear" w:color="auto" w:fill="auto"/>
            <w:tcMar>
              <w:top w:w="0" w:type="dxa"/>
              <w:bottom w:w="0" w:type="dxa"/>
            </w:tcMar>
            <w:vAlign w:val="center"/>
          </w:tcPr>
          <w:p w14:paraId="7A08949F"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59,160,000</w:t>
            </w:r>
          </w:p>
        </w:tc>
      </w:tr>
      <w:tr w:rsidR="001A11BC" w14:paraId="42D268F0" w14:textId="77777777">
        <w:tc>
          <w:tcPr>
            <w:tcW w:w="682" w:type="dxa"/>
            <w:shd w:val="clear" w:color="auto" w:fill="auto"/>
            <w:tcMar>
              <w:top w:w="0" w:type="dxa"/>
              <w:bottom w:w="0" w:type="dxa"/>
            </w:tcMar>
            <w:vAlign w:val="center"/>
          </w:tcPr>
          <w:p w14:paraId="0296BD07"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6BDE6E09" w14:textId="77777777" w:rsidR="001A11BC" w:rsidRDefault="009B7183" w:rsidP="009B7183">
            <w:pPr>
              <w:numPr>
                <w:ilvl w:val="0"/>
                <w:numId w:val="2"/>
              </w:numPr>
              <w:pBdr>
                <w:top w:val="nil"/>
                <w:left w:val="nil"/>
                <w:bottom w:val="nil"/>
                <w:right w:val="nil"/>
                <w:between w:val="nil"/>
              </w:pBdr>
              <w:tabs>
                <w:tab w:val="left" w:pos="151"/>
                <w:tab w:val="left" w:pos="567"/>
              </w:tabs>
              <w:spacing w:after="120" w:line="360" w:lineRule="auto"/>
              <w:rPr>
                <w:rFonts w:ascii="Arial" w:eastAsia="Arial" w:hAnsi="Arial" w:cs="Arial"/>
                <w:sz w:val="20"/>
                <w:szCs w:val="20"/>
              </w:rPr>
            </w:pPr>
            <w:r>
              <w:rPr>
                <w:rFonts w:ascii="Arial" w:hAnsi="Arial"/>
                <w:sz w:val="20"/>
              </w:rPr>
              <w:t>Chief of the Supervisory Board: 1,970,000 X 12 X 1 =</w:t>
            </w:r>
          </w:p>
          <w:p w14:paraId="4F304DD3" w14:textId="77777777" w:rsidR="001A11BC" w:rsidRDefault="009B7183" w:rsidP="009B7183">
            <w:pPr>
              <w:numPr>
                <w:ilvl w:val="0"/>
                <w:numId w:val="2"/>
              </w:numPr>
              <w:pBdr>
                <w:top w:val="nil"/>
                <w:left w:val="nil"/>
                <w:bottom w:val="nil"/>
                <w:right w:val="nil"/>
                <w:between w:val="nil"/>
              </w:pBdr>
              <w:tabs>
                <w:tab w:val="left" w:pos="144"/>
                <w:tab w:val="left" w:pos="567"/>
              </w:tabs>
              <w:spacing w:after="120" w:line="360" w:lineRule="auto"/>
              <w:rPr>
                <w:rFonts w:ascii="Arial" w:eastAsia="Arial" w:hAnsi="Arial" w:cs="Arial"/>
                <w:sz w:val="20"/>
                <w:szCs w:val="20"/>
              </w:rPr>
            </w:pPr>
            <w:r>
              <w:rPr>
                <w:rFonts w:ascii="Arial" w:hAnsi="Arial"/>
                <w:sz w:val="20"/>
              </w:rPr>
              <w:t>Member of the Supervisory Board: 1,480,000 X 12 X 2 =</w:t>
            </w:r>
          </w:p>
        </w:tc>
        <w:tc>
          <w:tcPr>
            <w:tcW w:w="1648" w:type="dxa"/>
            <w:shd w:val="clear" w:color="auto" w:fill="auto"/>
            <w:tcMar>
              <w:top w:w="0" w:type="dxa"/>
              <w:bottom w:w="0" w:type="dxa"/>
            </w:tcMar>
            <w:vAlign w:val="center"/>
          </w:tcPr>
          <w:p w14:paraId="0B26807B"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23,640,000</w:t>
            </w:r>
          </w:p>
          <w:p w14:paraId="5F1BA694"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35,520,000</w:t>
            </w:r>
          </w:p>
        </w:tc>
      </w:tr>
      <w:tr w:rsidR="001A11BC" w14:paraId="05769C72" w14:textId="77777777">
        <w:tc>
          <w:tcPr>
            <w:tcW w:w="682" w:type="dxa"/>
            <w:shd w:val="clear" w:color="auto" w:fill="auto"/>
            <w:tcMar>
              <w:top w:w="0" w:type="dxa"/>
              <w:bottom w:w="0" w:type="dxa"/>
            </w:tcMar>
            <w:vAlign w:val="center"/>
          </w:tcPr>
          <w:p w14:paraId="1D108B9E"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1EC8EA5E"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remuneration realized in 2023:</w:t>
            </w:r>
          </w:p>
        </w:tc>
        <w:tc>
          <w:tcPr>
            <w:tcW w:w="1648" w:type="dxa"/>
            <w:shd w:val="clear" w:color="auto" w:fill="auto"/>
            <w:tcMar>
              <w:top w:w="0" w:type="dxa"/>
              <w:bottom w:w="0" w:type="dxa"/>
            </w:tcMar>
            <w:vAlign w:val="center"/>
          </w:tcPr>
          <w:p w14:paraId="1CD3D3F2"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178,320,000</w:t>
            </w:r>
          </w:p>
        </w:tc>
      </w:tr>
      <w:tr w:rsidR="001A11BC" w14:paraId="020FFAC0" w14:textId="77777777">
        <w:tc>
          <w:tcPr>
            <w:tcW w:w="682" w:type="dxa"/>
            <w:shd w:val="clear" w:color="auto" w:fill="auto"/>
            <w:tcMar>
              <w:top w:w="0" w:type="dxa"/>
              <w:bottom w:w="0" w:type="dxa"/>
            </w:tcMar>
            <w:vAlign w:val="center"/>
          </w:tcPr>
          <w:p w14:paraId="325C775D"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B</w:t>
            </w:r>
          </w:p>
        </w:tc>
        <w:tc>
          <w:tcPr>
            <w:tcW w:w="6687" w:type="dxa"/>
            <w:shd w:val="clear" w:color="auto" w:fill="auto"/>
            <w:tcMar>
              <w:top w:w="0" w:type="dxa"/>
              <w:bottom w:w="0" w:type="dxa"/>
            </w:tcMar>
            <w:vAlign w:val="center"/>
          </w:tcPr>
          <w:p w14:paraId="205BFC3C"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Expected remuneration in 2024 for the Board of Directors and the Supervisory Board:</w:t>
            </w:r>
          </w:p>
        </w:tc>
        <w:tc>
          <w:tcPr>
            <w:tcW w:w="1648" w:type="dxa"/>
            <w:shd w:val="clear" w:color="auto" w:fill="auto"/>
            <w:tcMar>
              <w:top w:w="0" w:type="dxa"/>
              <w:bottom w:w="0" w:type="dxa"/>
            </w:tcMar>
            <w:vAlign w:val="center"/>
          </w:tcPr>
          <w:p w14:paraId="03E84E49"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179,880,000</w:t>
            </w:r>
          </w:p>
        </w:tc>
      </w:tr>
      <w:tr w:rsidR="001A11BC" w14:paraId="2A0FE2DF" w14:textId="77777777">
        <w:tc>
          <w:tcPr>
            <w:tcW w:w="682" w:type="dxa"/>
            <w:shd w:val="clear" w:color="auto" w:fill="auto"/>
            <w:tcMar>
              <w:top w:w="0" w:type="dxa"/>
              <w:bottom w:w="0" w:type="dxa"/>
            </w:tcMar>
            <w:vAlign w:val="center"/>
          </w:tcPr>
          <w:p w14:paraId="3A133C04"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w:t>
            </w:r>
          </w:p>
        </w:tc>
        <w:tc>
          <w:tcPr>
            <w:tcW w:w="6687" w:type="dxa"/>
            <w:shd w:val="clear" w:color="auto" w:fill="auto"/>
            <w:tcMar>
              <w:top w:w="0" w:type="dxa"/>
              <w:bottom w:w="0" w:type="dxa"/>
            </w:tcMar>
            <w:vAlign w:val="center"/>
          </w:tcPr>
          <w:p w14:paraId="0EF23C00"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Board of Directors</w:t>
            </w:r>
          </w:p>
        </w:tc>
        <w:tc>
          <w:tcPr>
            <w:tcW w:w="1648" w:type="dxa"/>
            <w:shd w:val="clear" w:color="auto" w:fill="auto"/>
            <w:tcMar>
              <w:top w:w="0" w:type="dxa"/>
              <w:bottom w:w="0" w:type="dxa"/>
            </w:tcMar>
            <w:vAlign w:val="center"/>
          </w:tcPr>
          <w:p w14:paraId="7DF48E9C"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120,240,000</w:t>
            </w:r>
          </w:p>
        </w:tc>
      </w:tr>
      <w:tr w:rsidR="001A11BC" w14:paraId="45F05C0D" w14:textId="77777777">
        <w:tc>
          <w:tcPr>
            <w:tcW w:w="682" w:type="dxa"/>
            <w:shd w:val="clear" w:color="auto" w:fill="auto"/>
            <w:tcMar>
              <w:top w:w="0" w:type="dxa"/>
              <w:bottom w:w="0" w:type="dxa"/>
            </w:tcMar>
            <w:vAlign w:val="center"/>
          </w:tcPr>
          <w:p w14:paraId="3E7F4394"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335051F1"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Chair of the Board of Directors (01 person): 3,480,000 X 12 X 01 =</w:t>
            </w:r>
          </w:p>
        </w:tc>
        <w:tc>
          <w:tcPr>
            <w:tcW w:w="1648" w:type="dxa"/>
            <w:shd w:val="clear" w:color="auto" w:fill="auto"/>
            <w:tcMar>
              <w:top w:w="0" w:type="dxa"/>
              <w:bottom w:w="0" w:type="dxa"/>
            </w:tcMar>
            <w:vAlign w:val="center"/>
          </w:tcPr>
          <w:p w14:paraId="2B6467D7"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41,760,000</w:t>
            </w:r>
          </w:p>
        </w:tc>
      </w:tr>
      <w:tr w:rsidR="001A11BC" w14:paraId="655E5B47" w14:textId="77777777">
        <w:tc>
          <w:tcPr>
            <w:tcW w:w="682" w:type="dxa"/>
            <w:shd w:val="clear" w:color="auto" w:fill="auto"/>
            <w:tcMar>
              <w:top w:w="0" w:type="dxa"/>
              <w:bottom w:w="0" w:type="dxa"/>
            </w:tcMar>
            <w:vAlign w:val="center"/>
          </w:tcPr>
          <w:p w14:paraId="31083A5C"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23B3BAE2"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Member of the Board of Directors (03 members): 2,180,000 X 12 X 03 =</w:t>
            </w:r>
          </w:p>
        </w:tc>
        <w:tc>
          <w:tcPr>
            <w:tcW w:w="1648" w:type="dxa"/>
            <w:shd w:val="clear" w:color="auto" w:fill="auto"/>
            <w:tcMar>
              <w:top w:w="0" w:type="dxa"/>
              <w:bottom w:w="0" w:type="dxa"/>
            </w:tcMar>
            <w:vAlign w:val="center"/>
          </w:tcPr>
          <w:p w14:paraId="41153350"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78,480,000</w:t>
            </w:r>
          </w:p>
        </w:tc>
      </w:tr>
      <w:tr w:rsidR="001A11BC" w14:paraId="4A8F371D" w14:textId="77777777">
        <w:tc>
          <w:tcPr>
            <w:tcW w:w="682" w:type="dxa"/>
            <w:shd w:val="clear" w:color="auto" w:fill="auto"/>
            <w:tcMar>
              <w:top w:w="0" w:type="dxa"/>
              <w:bottom w:w="0" w:type="dxa"/>
            </w:tcMar>
            <w:vAlign w:val="center"/>
          </w:tcPr>
          <w:p w14:paraId="6FE09D1D"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w:t>
            </w:r>
          </w:p>
        </w:tc>
        <w:tc>
          <w:tcPr>
            <w:tcW w:w="6687" w:type="dxa"/>
            <w:shd w:val="clear" w:color="auto" w:fill="auto"/>
            <w:tcMar>
              <w:top w:w="0" w:type="dxa"/>
              <w:bottom w:w="0" w:type="dxa"/>
            </w:tcMar>
            <w:vAlign w:val="center"/>
          </w:tcPr>
          <w:p w14:paraId="16F85813"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The Supervisory Board</w:t>
            </w:r>
          </w:p>
        </w:tc>
        <w:tc>
          <w:tcPr>
            <w:tcW w:w="1648" w:type="dxa"/>
            <w:shd w:val="clear" w:color="auto" w:fill="auto"/>
            <w:tcMar>
              <w:top w:w="0" w:type="dxa"/>
              <w:bottom w:w="0" w:type="dxa"/>
            </w:tcMar>
            <w:vAlign w:val="center"/>
          </w:tcPr>
          <w:p w14:paraId="5057922A"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59,640,000</w:t>
            </w:r>
          </w:p>
        </w:tc>
      </w:tr>
      <w:tr w:rsidR="001A11BC" w14:paraId="2806D598" w14:textId="77777777">
        <w:tc>
          <w:tcPr>
            <w:tcW w:w="682" w:type="dxa"/>
            <w:shd w:val="clear" w:color="auto" w:fill="auto"/>
            <w:tcMar>
              <w:top w:w="0" w:type="dxa"/>
              <w:bottom w:w="0" w:type="dxa"/>
            </w:tcMar>
            <w:vAlign w:val="center"/>
          </w:tcPr>
          <w:p w14:paraId="734235EA"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4E1B3ECE"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Non-executive Chief of the Supervisory Board (01 person): 1,990,000 X 12 X 01 =</w:t>
            </w:r>
          </w:p>
        </w:tc>
        <w:tc>
          <w:tcPr>
            <w:tcW w:w="1648" w:type="dxa"/>
            <w:shd w:val="clear" w:color="auto" w:fill="auto"/>
            <w:tcMar>
              <w:top w:w="0" w:type="dxa"/>
              <w:bottom w:w="0" w:type="dxa"/>
            </w:tcMar>
            <w:vAlign w:val="center"/>
          </w:tcPr>
          <w:p w14:paraId="064534CA"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23,880,000</w:t>
            </w:r>
          </w:p>
        </w:tc>
      </w:tr>
      <w:tr w:rsidR="001A11BC" w14:paraId="37598784" w14:textId="77777777">
        <w:tc>
          <w:tcPr>
            <w:tcW w:w="682" w:type="dxa"/>
            <w:shd w:val="clear" w:color="auto" w:fill="auto"/>
            <w:tcMar>
              <w:top w:w="0" w:type="dxa"/>
              <w:bottom w:w="0" w:type="dxa"/>
            </w:tcMar>
            <w:vAlign w:val="center"/>
          </w:tcPr>
          <w:p w14:paraId="293CE224"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1FBC4237"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 Member of the Supervisory Board (02 persons): 1,490,000 X 12 X 02 =</w:t>
            </w:r>
          </w:p>
        </w:tc>
        <w:tc>
          <w:tcPr>
            <w:tcW w:w="1648" w:type="dxa"/>
            <w:shd w:val="clear" w:color="auto" w:fill="auto"/>
            <w:tcMar>
              <w:top w:w="0" w:type="dxa"/>
              <w:bottom w:w="0" w:type="dxa"/>
            </w:tcMar>
            <w:vAlign w:val="center"/>
          </w:tcPr>
          <w:p w14:paraId="1445083B"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35,760,000</w:t>
            </w:r>
          </w:p>
        </w:tc>
      </w:tr>
      <w:tr w:rsidR="001A11BC" w14:paraId="15FE43E6" w14:textId="77777777">
        <w:tc>
          <w:tcPr>
            <w:tcW w:w="682" w:type="dxa"/>
            <w:shd w:val="clear" w:color="auto" w:fill="auto"/>
            <w:tcMar>
              <w:top w:w="0" w:type="dxa"/>
              <w:bottom w:w="0" w:type="dxa"/>
            </w:tcMar>
            <w:vAlign w:val="center"/>
          </w:tcPr>
          <w:p w14:paraId="00B0A2C2" w14:textId="77777777" w:rsidR="001A11BC" w:rsidRDefault="001A11BC" w:rsidP="009B7183">
            <w:pPr>
              <w:tabs>
                <w:tab w:val="left" w:pos="567"/>
              </w:tabs>
              <w:spacing w:after="120" w:line="360" w:lineRule="auto"/>
              <w:rPr>
                <w:rFonts w:ascii="Arial" w:eastAsia="Arial" w:hAnsi="Arial" w:cs="Arial"/>
                <w:sz w:val="20"/>
                <w:szCs w:val="20"/>
              </w:rPr>
            </w:pPr>
          </w:p>
        </w:tc>
        <w:tc>
          <w:tcPr>
            <w:tcW w:w="6687" w:type="dxa"/>
            <w:shd w:val="clear" w:color="auto" w:fill="auto"/>
            <w:tcMar>
              <w:top w:w="0" w:type="dxa"/>
              <w:bottom w:w="0" w:type="dxa"/>
            </w:tcMar>
            <w:vAlign w:val="center"/>
          </w:tcPr>
          <w:p w14:paraId="13608AC0"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Total expected remuneration in 2024 for the Board of Directors and the Supervisory Board:</w:t>
            </w:r>
          </w:p>
        </w:tc>
        <w:tc>
          <w:tcPr>
            <w:tcW w:w="1648" w:type="dxa"/>
            <w:shd w:val="clear" w:color="auto" w:fill="auto"/>
            <w:tcMar>
              <w:top w:w="0" w:type="dxa"/>
              <w:bottom w:w="0" w:type="dxa"/>
            </w:tcMar>
            <w:vAlign w:val="center"/>
          </w:tcPr>
          <w:p w14:paraId="79B7A9E9" w14:textId="77777777" w:rsidR="001A11BC" w:rsidRDefault="009B7183" w:rsidP="009B7183">
            <w:p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179,880,000</w:t>
            </w:r>
          </w:p>
        </w:tc>
      </w:tr>
    </w:tbl>
    <w:p w14:paraId="567F8E2B"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Notes: The specific remuneration for the Board of Directors and the Supervisory Board in 2024 is based on the actual number of members of the Board of Directors and the Supervisory Board.</w:t>
      </w:r>
    </w:p>
    <w:p w14:paraId="767DE9A0" w14:textId="77777777" w:rsidR="001A11BC" w:rsidRDefault="009B7183" w:rsidP="00740DE7">
      <w:pPr>
        <w:numPr>
          <w:ilvl w:val="0"/>
          <w:numId w:val="8"/>
        </w:numPr>
        <w:pBdr>
          <w:top w:val="nil"/>
          <w:left w:val="nil"/>
          <w:bottom w:val="nil"/>
          <w:right w:val="nil"/>
          <w:between w:val="nil"/>
        </w:pBdr>
        <w:tabs>
          <w:tab w:val="left" w:pos="567"/>
          <w:tab w:val="left" w:pos="1485"/>
        </w:tabs>
        <w:spacing w:after="120" w:line="360" w:lineRule="auto"/>
        <w:jc w:val="both"/>
        <w:rPr>
          <w:rFonts w:ascii="Arial" w:eastAsia="Arial" w:hAnsi="Arial" w:cs="Arial"/>
          <w:sz w:val="20"/>
          <w:szCs w:val="20"/>
        </w:rPr>
      </w:pPr>
      <w:r>
        <w:rPr>
          <w:rFonts w:ascii="Arial" w:hAnsi="Arial"/>
          <w:sz w:val="20"/>
        </w:rPr>
        <w:t xml:space="preserve">Approve the Report of the Supervisory Board in 2023. </w:t>
      </w:r>
    </w:p>
    <w:p w14:paraId="57788F71" w14:textId="77777777" w:rsidR="001A11BC" w:rsidRDefault="009B7183" w:rsidP="00740DE7">
      <w:pPr>
        <w:numPr>
          <w:ilvl w:val="0"/>
          <w:numId w:val="8"/>
        </w:numPr>
        <w:pBdr>
          <w:top w:val="nil"/>
          <w:left w:val="nil"/>
          <w:bottom w:val="nil"/>
          <w:right w:val="nil"/>
          <w:between w:val="nil"/>
        </w:pBdr>
        <w:tabs>
          <w:tab w:val="left" w:pos="567"/>
          <w:tab w:val="left" w:pos="1507"/>
        </w:tabs>
        <w:spacing w:after="120" w:line="360" w:lineRule="auto"/>
        <w:jc w:val="both"/>
        <w:rPr>
          <w:rFonts w:ascii="Arial" w:eastAsia="Arial" w:hAnsi="Arial" w:cs="Arial"/>
          <w:sz w:val="20"/>
          <w:szCs w:val="20"/>
        </w:rPr>
      </w:pPr>
      <w:r>
        <w:rPr>
          <w:rFonts w:ascii="Arial" w:hAnsi="Arial"/>
          <w:sz w:val="20"/>
        </w:rPr>
        <w:t xml:space="preserve">Approve the Proposal for the Annual General Meeting of Shareholders 2024 on authorizing the Board of Directors to select an audit company for the fiscal year 2024. </w:t>
      </w:r>
    </w:p>
    <w:p w14:paraId="4723C6AE" w14:textId="77777777" w:rsidR="001A11BC" w:rsidRDefault="009B7183" w:rsidP="00740DE7">
      <w:pPr>
        <w:numPr>
          <w:ilvl w:val="0"/>
          <w:numId w:val="8"/>
        </w:numPr>
        <w:pBdr>
          <w:top w:val="nil"/>
          <w:left w:val="nil"/>
          <w:bottom w:val="nil"/>
          <w:right w:val="nil"/>
          <w:between w:val="nil"/>
        </w:pBdr>
        <w:tabs>
          <w:tab w:val="left" w:pos="567"/>
          <w:tab w:val="left" w:pos="1503"/>
        </w:tabs>
        <w:spacing w:after="120" w:line="360" w:lineRule="auto"/>
        <w:jc w:val="both"/>
        <w:rPr>
          <w:rFonts w:ascii="Arial" w:eastAsia="Arial" w:hAnsi="Arial" w:cs="Arial"/>
          <w:sz w:val="20"/>
          <w:szCs w:val="20"/>
        </w:rPr>
      </w:pPr>
      <w:bookmarkStart w:id="1" w:name="_heading=h.gjdgxs"/>
      <w:bookmarkEnd w:id="1"/>
      <w:r>
        <w:rPr>
          <w:rFonts w:ascii="Arial" w:hAnsi="Arial"/>
          <w:sz w:val="20"/>
        </w:rPr>
        <w:t xml:space="preserve">Approve the Proposal for the Annual General Meeting of Shareholders 2024 on amending and supplementing the Company's Charter of organization and operations. </w:t>
      </w:r>
    </w:p>
    <w:p w14:paraId="4289D8E1" w14:textId="77777777" w:rsidR="001A11BC" w:rsidRDefault="009B7183" w:rsidP="00740DE7">
      <w:pPr>
        <w:numPr>
          <w:ilvl w:val="0"/>
          <w:numId w:val="8"/>
        </w:numPr>
        <w:pBdr>
          <w:top w:val="nil"/>
          <w:left w:val="nil"/>
          <w:bottom w:val="nil"/>
          <w:right w:val="nil"/>
          <w:between w:val="nil"/>
        </w:pBdr>
        <w:tabs>
          <w:tab w:val="left" w:pos="567"/>
          <w:tab w:val="left" w:pos="1499"/>
        </w:tabs>
        <w:spacing w:after="120" w:line="360" w:lineRule="auto"/>
        <w:jc w:val="both"/>
        <w:rPr>
          <w:rFonts w:ascii="Arial" w:eastAsia="Arial" w:hAnsi="Arial" w:cs="Arial"/>
          <w:sz w:val="20"/>
          <w:szCs w:val="20"/>
        </w:rPr>
      </w:pPr>
      <w:r>
        <w:rPr>
          <w:rFonts w:ascii="Arial" w:hAnsi="Arial"/>
          <w:sz w:val="20"/>
        </w:rPr>
        <w:t xml:space="preserve">Approve the Proposal for the Annual General Meeting of Shareholders 2024 on amending and supplementing the Internal Regulations on governance. </w:t>
      </w:r>
    </w:p>
    <w:p w14:paraId="3D51F725" w14:textId="62C7945D" w:rsidR="001A11BC" w:rsidRDefault="009B7183" w:rsidP="00740DE7">
      <w:pPr>
        <w:numPr>
          <w:ilvl w:val="0"/>
          <w:numId w:val="8"/>
        </w:numPr>
        <w:pBdr>
          <w:top w:val="nil"/>
          <w:left w:val="nil"/>
          <w:bottom w:val="nil"/>
          <w:right w:val="nil"/>
          <w:between w:val="nil"/>
        </w:pBdr>
        <w:tabs>
          <w:tab w:val="left" w:pos="567"/>
          <w:tab w:val="left" w:pos="1622"/>
        </w:tabs>
        <w:spacing w:after="120" w:line="360" w:lineRule="auto"/>
        <w:jc w:val="both"/>
        <w:rPr>
          <w:rFonts w:ascii="Arial" w:eastAsia="Arial" w:hAnsi="Arial" w:cs="Arial"/>
          <w:sz w:val="20"/>
          <w:szCs w:val="20"/>
        </w:rPr>
      </w:pPr>
      <w:r>
        <w:rPr>
          <w:rFonts w:ascii="Arial" w:hAnsi="Arial"/>
          <w:sz w:val="20"/>
        </w:rPr>
        <w:t xml:space="preserve">Approve the Proposal for the Annual General Meeting of Shareholders 2024 on approving the Board of Directors' Operating Regulations. </w:t>
      </w:r>
    </w:p>
    <w:p w14:paraId="0C832441" w14:textId="40F201B1" w:rsidR="001A11BC" w:rsidRDefault="009B7183" w:rsidP="00740DE7">
      <w:pPr>
        <w:numPr>
          <w:ilvl w:val="0"/>
          <w:numId w:val="8"/>
        </w:numPr>
        <w:pBdr>
          <w:top w:val="nil"/>
          <w:left w:val="nil"/>
          <w:bottom w:val="nil"/>
          <w:right w:val="nil"/>
          <w:between w:val="nil"/>
        </w:pBdr>
        <w:tabs>
          <w:tab w:val="left" w:pos="567"/>
          <w:tab w:val="left" w:pos="1596"/>
        </w:tabs>
        <w:spacing w:after="120" w:line="360" w:lineRule="auto"/>
        <w:jc w:val="both"/>
        <w:rPr>
          <w:rFonts w:ascii="Arial" w:eastAsia="Arial" w:hAnsi="Arial" w:cs="Arial"/>
          <w:sz w:val="20"/>
          <w:szCs w:val="20"/>
        </w:rPr>
      </w:pPr>
      <w:r>
        <w:rPr>
          <w:rFonts w:ascii="Arial" w:hAnsi="Arial"/>
          <w:sz w:val="20"/>
        </w:rPr>
        <w:t>Approve the Proposal for the Annual General Meeting of Shareholders 2024 on approving the Board of Directors' Operating Regulations.</w:t>
      </w:r>
    </w:p>
    <w:p w14:paraId="1E1294FA"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2. The General Meeting of Shareholders approves assigning the Board of Directors to organize the implementation of this General Mandate according to its functions and tasks.</w:t>
      </w:r>
    </w:p>
    <w:p w14:paraId="49E9F99C"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3. For tasks that have not been completed and outstanding for many periods according to the General Mandate, the Board Resolution, and the Meeting Minutes, the General Manager needs to quickly organize the implementation. Continued delay causes waste and reduces operational efficiency without justifiable reasons. The Board of Management will be responsible to the General Meeting of Shareholders and current laws.</w:t>
      </w:r>
    </w:p>
    <w:p w14:paraId="3019B7C1"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‎‎Article 4. The General Meeting of Shareholders approves assigning the Supervisory Board to </w:t>
      </w:r>
      <w:r>
        <w:rPr>
          <w:rFonts w:ascii="Arial" w:hAnsi="Arial"/>
          <w:sz w:val="20"/>
        </w:rPr>
        <w:lastRenderedPageBreak/>
        <w:t>supervise the implementation of this General Mandate.</w:t>
      </w:r>
    </w:p>
    <w:p w14:paraId="65AB3809" w14:textId="77777777" w:rsidR="001A11BC" w:rsidRDefault="009B7183" w:rsidP="00740DE7">
      <w:p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‎‎Article 5. Members of the Board of Directors, the Supervisory Board, the Board of Management, and the Chief Accountant, based on their functions, are responsible for implementing this General Mandate in accordance with the provisions of law and the Charter of Organization and Operation of Friendship trading - Industrial Joint Stock Company.</w:t>
      </w:r>
    </w:p>
    <w:sectPr w:rsidR="001A11B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94D"/>
    <w:multiLevelType w:val="multilevel"/>
    <w:tmpl w:val="42DEA58E"/>
    <w:lvl w:ilvl="0">
      <w:start w:val="1"/>
      <w:numFmt w:val="decimal"/>
      <w:lvlText w:val="%1."/>
      <w:lvlJc w:val="left"/>
      <w:pPr>
        <w:ind w:left="783" w:hanging="360"/>
      </w:pPr>
      <w:rPr>
        <w:rFonts w:ascii="Arial" w:eastAsia="Arial" w:hAnsi="Arial" w:cs="Arial"/>
        <w:b w:val="0"/>
        <w:i w:val="0"/>
        <w:sz w:val="20"/>
        <w:szCs w:val="20"/>
        <w:u w:val="none"/>
      </w:rPr>
    </w:lvl>
    <w:lvl w:ilvl="1">
      <w:numFmt w:val="bullet"/>
      <w:lvlText w:val="●"/>
      <w:lvlJc w:val="left"/>
      <w:pPr>
        <w:ind w:left="1503" w:hanging="360"/>
      </w:pPr>
      <w:rPr>
        <w:rFonts w:ascii="Noto Sans Symbols" w:eastAsia="Noto Sans Symbols" w:hAnsi="Noto Sans Symbols" w:cs="Noto Sans Symbols"/>
        <w:b w:val="0"/>
        <w:i w:val="0"/>
        <w:sz w:val="20"/>
        <w:szCs w:val="20"/>
      </w:rPr>
    </w:lvl>
    <w:lvl w:ilvl="2">
      <w:start w:val="1"/>
      <w:numFmt w:val="lowerRoman"/>
      <w:lvlText w:val="%3."/>
      <w:lvlJc w:val="right"/>
      <w:pPr>
        <w:ind w:left="2223" w:hanging="180"/>
      </w:pPr>
      <w:rPr>
        <w:rFonts w:ascii="Arial" w:eastAsia="Arial" w:hAnsi="Arial" w:cs="Arial"/>
        <w:b w:val="0"/>
        <w:i w:val="0"/>
        <w:sz w:val="20"/>
        <w:szCs w:val="20"/>
      </w:r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
    <w:nsid w:val="21FB5766"/>
    <w:multiLevelType w:val="multilevel"/>
    <w:tmpl w:val="76EE25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34D83"/>
    <w:multiLevelType w:val="multilevel"/>
    <w:tmpl w:val="A6769666"/>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D86F54"/>
    <w:multiLevelType w:val="multilevel"/>
    <w:tmpl w:val="51300F8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721964"/>
    <w:multiLevelType w:val="multilevel"/>
    <w:tmpl w:val="ACCEC81C"/>
    <w:lvl w:ilvl="0">
      <w:numFmt w:val="bullet"/>
      <w:lvlText w:val="*"/>
      <w:lvlJc w:val="left"/>
      <w:pPr>
        <w:ind w:left="720" w:hanging="360"/>
      </w:pPr>
      <w:rPr>
        <w:rFonts w:ascii="Arial" w:eastAsia="Arial" w:hAnsi="Arial" w:cs="Arial"/>
        <w:b w:val="0"/>
        <w:i w:val="0"/>
        <w:sz w:val="20"/>
        <w:szCs w:val="20"/>
      </w:rPr>
    </w:lvl>
    <w:lvl w:ilvl="1">
      <w:numFmt w:val="bullet"/>
      <w:lvlText w:val="*"/>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A1035A"/>
    <w:multiLevelType w:val="multilevel"/>
    <w:tmpl w:val="8264963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EE46029"/>
    <w:multiLevelType w:val="multilevel"/>
    <w:tmpl w:val="B8DED6D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E303984"/>
    <w:multiLevelType w:val="multilevel"/>
    <w:tmpl w:val="65EA1D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BC"/>
    <w:rsid w:val="001A11BC"/>
    <w:rsid w:val="00526113"/>
    <w:rsid w:val="00740DE7"/>
    <w:rsid w:val="009B7183"/>
    <w:rsid w:val="00BD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B2042"/>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CB2042"/>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B2042"/>
      <w:sz w:val="34"/>
      <w:szCs w:val="34"/>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40">
    <w:name w:val="Body text (4)"/>
    <w:basedOn w:val="Normal"/>
    <w:link w:val="Bodytext4"/>
    <w:pPr>
      <w:spacing w:line="223" w:lineRule="auto"/>
    </w:pPr>
    <w:rPr>
      <w:rFonts w:ascii="Arial" w:eastAsia="Arial" w:hAnsi="Arial" w:cs="Arial"/>
      <w:color w:val="CB2042"/>
      <w:sz w:val="20"/>
      <w:szCs w:val="20"/>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20">
    <w:name w:val="Body text (2)"/>
    <w:basedOn w:val="Normal"/>
    <w:link w:val="Bodytext2"/>
    <w:pPr>
      <w:ind w:firstLine="720"/>
    </w:pPr>
    <w:rPr>
      <w:rFonts w:ascii="Times New Roman" w:eastAsia="Times New Roman" w:hAnsi="Times New Roman" w:cs="Times New Roman"/>
      <w:sz w:val="19"/>
      <w:szCs w:val="19"/>
    </w:rPr>
  </w:style>
  <w:style w:type="paragraph" w:customStyle="1" w:styleId="Bodytext30">
    <w:name w:val="Body text (3)"/>
    <w:basedOn w:val="Normal"/>
    <w:link w:val="Bodytext3"/>
    <w:pPr>
      <w:spacing w:line="182" w:lineRule="auto"/>
    </w:pPr>
    <w:rPr>
      <w:rFonts w:ascii="Times New Roman" w:eastAsia="Times New Roman" w:hAnsi="Times New Roman" w:cs="Times New Roman"/>
      <w:smallCaps/>
      <w:color w:val="CB2042"/>
      <w:sz w:val="28"/>
      <w:szCs w:val="28"/>
    </w:rPr>
  </w:style>
  <w:style w:type="paragraph" w:customStyle="1" w:styleId="Heading11">
    <w:name w:val="Heading #1"/>
    <w:basedOn w:val="Normal"/>
    <w:link w:val="Heading10"/>
    <w:pPr>
      <w:spacing w:line="202" w:lineRule="auto"/>
      <w:outlineLvl w:val="0"/>
    </w:pPr>
    <w:rPr>
      <w:rFonts w:ascii="Times New Roman" w:eastAsia="Times New Roman" w:hAnsi="Times New Roman" w:cs="Times New Roman"/>
      <w:smallCaps/>
      <w:color w:val="CB2042"/>
      <w:sz w:val="34"/>
      <w:szCs w:val="34"/>
    </w:rPr>
  </w:style>
  <w:style w:type="paragraph" w:styleId="ListParagraph">
    <w:name w:val="List Paragraph"/>
    <w:basedOn w:val="Normal"/>
    <w:uiPriority w:val="34"/>
    <w:qFormat/>
    <w:rsid w:val="00796D8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CB2042"/>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color w:val="CB2042"/>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CB2042"/>
      <w:sz w:val="34"/>
      <w:szCs w:val="34"/>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40">
    <w:name w:val="Body text (4)"/>
    <w:basedOn w:val="Normal"/>
    <w:link w:val="Bodytext4"/>
    <w:pPr>
      <w:spacing w:line="223" w:lineRule="auto"/>
    </w:pPr>
    <w:rPr>
      <w:rFonts w:ascii="Arial" w:eastAsia="Arial" w:hAnsi="Arial" w:cs="Arial"/>
      <w:color w:val="CB2042"/>
      <w:sz w:val="20"/>
      <w:szCs w:val="20"/>
    </w:rPr>
  </w:style>
  <w:style w:type="paragraph" w:customStyle="1" w:styleId="Tablecaption0">
    <w:name w:val="Table caption"/>
    <w:basedOn w:val="Normal"/>
    <w:link w:val="Tablecaption"/>
    <w:rPr>
      <w:rFonts w:ascii="Times New Roman" w:eastAsia="Times New Roman" w:hAnsi="Times New Roman" w:cs="Times New Roman"/>
      <w:i/>
      <w:iCs/>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customStyle="1" w:styleId="Bodytext20">
    <w:name w:val="Body text (2)"/>
    <w:basedOn w:val="Normal"/>
    <w:link w:val="Bodytext2"/>
    <w:pPr>
      <w:ind w:firstLine="720"/>
    </w:pPr>
    <w:rPr>
      <w:rFonts w:ascii="Times New Roman" w:eastAsia="Times New Roman" w:hAnsi="Times New Roman" w:cs="Times New Roman"/>
      <w:sz w:val="19"/>
      <w:szCs w:val="19"/>
    </w:rPr>
  </w:style>
  <w:style w:type="paragraph" w:customStyle="1" w:styleId="Bodytext30">
    <w:name w:val="Body text (3)"/>
    <w:basedOn w:val="Normal"/>
    <w:link w:val="Bodytext3"/>
    <w:pPr>
      <w:spacing w:line="182" w:lineRule="auto"/>
    </w:pPr>
    <w:rPr>
      <w:rFonts w:ascii="Times New Roman" w:eastAsia="Times New Roman" w:hAnsi="Times New Roman" w:cs="Times New Roman"/>
      <w:smallCaps/>
      <w:color w:val="CB2042"/>
      <w:sz w:val="28"/>
      <w:szCs w:val="28"/>
    </w:rPr>
  </w:style>
  <w:style w:type="paragraph" w:customStyle="1" w:styleId="Heading11">
    <w:name w:val="Heading #1"/>
    <w:basedOn w:val="Normal"/>
    <w:link w:val="Heading10"/>
    <w:pPr>
      <w:spacing w:line="202" w:lineRule="auto"/>
      <w:outlineLvl w:val="0"/>
    </w:pPr>
    <w:rPr>
      <w:rFonts w:ascii="Times New Roman" w:eastAsia="Times New Roman" w:hAnsi="Times New Roman" w:cs="Times New Roman"/>
      <w:smallCaps/>
      <w:color w:val="CB2042"/>
      <w:sz w:val="34"/>
      <w:szCs w:val="34"/>
    </w:rPr>
  </w:style>
  <w:style w:type="paragraph" w:styleId="ListParagraph">
    <w:name w:val="List Paragraph"/>
    <w:basedOn w:val="Normal"/>
    <w:uiPriority w:val="34"/>
    <w:qFormat/>
    <w:rsid w:val="00796D8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LCv7Ro8cftCnbyLEBsPB2sHGxA==">CgMxLjAyCGguZ2pkZ3hzOAByITFYRXkzcEhqY29kTDAxckxzYW9NS21FQTUwdUU1VGlndg==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2024-07-02T09:03:00Z</dcterms:created>
  <dcterms:modified xsi:type="dcterms:W3CDTF">2024-07-04T07:02:00Z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c376330ee89d5ea6a6d141d44477c45dea78099ebbc5eaa93a888374a9d4ce0e</vt:lpwstr>
  </property>
</Properties>
</file>