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2B7D" w14:textId="77777777" w:rsidR="004E262C" w:rsidRDefault="00727AC2" w:rsidP="00E86DFD">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QNW: Annual General Mandate 2024</w:t>
      </w:r>
    </w:p>
    <w:p w14:paraId="6CBA3A8A" w14:textId="77777777" w:rsidR="004E262C" w:rsidRDefault="00727AC2" w:rsidP="00E86DF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Quang Ngai Water Supply Sewerage and Construction Joint Stock Company announced General Mandate No. 01/2024/NQ-DHDCD as follows:</w:t>
      </w:r>
    </w:p>
    <w:p w14:paraId="3F64C20F"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entire content of the Board of Directors' Report evaluating the management of the Company's production and business activities in 2023 and a number of key tasks in 2024.</w:t>
      </w:r>
    </w:p>
    <w:p w14:paraId="17759218"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entire content of the Board of Managers Report: Report on production and business results 2023; Plan 2024.</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848"/>
        <w:gridCol w:w="1340"/>
        <w:gridCol w:w="1250"/>
        <w:gridCol w:w="1385"/>
      </w:tblGrid>
      <w:tr w:rsidR="004E262C" w:rsidRPr="000E6C64" w14:paraId="4BD85437" w14:textId="77777777">
        <w:tc>
          <w:tcPr>
            <w:tcW w:w="4194" w:type="dxa"/>
            <w:shd w:val="clear" w:color="auto" w:fill="auto"/>
            <w:vAlign w:val="center"/>
          </w:tcPr>
          <w:p w14:paraId="147251A0"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TARGET</w:t>
            </w:r>
          </w:p>
        </w:tc>
        <w:tc>
          <w:tcPr>
            <w:tcW w:w="848" w:type="dxa"/>
            <w:shd w:val="clear" w:color="auto" w:fill="auto"/>
            <w:vAlign w:val="center"/>
          </w:tcPr>
          <w:p w14:paraId="00B235BB"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UNIT</w:t>
            </w:r>
          </w:p>
        </w:tc>
        <w:tc>
          <w:tcPr>
            <w:tcW w:w="1340" w:type="dxa"/>
            <w:shd w:val="clear" w:color="auto" w:fill="auto"/>
            <w:vAlign w:val="center"/>
          </w:tcPr>
          <w:p w14:paraId="4FC3E8CD"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Results 2023</w:t>
            </w:r>
          </w:p>
        </w:tc>
        <w:tc>
          <w:tcPr>
            <w:tcW w:w="1250" w:type="dxa"/>
            <w:shd w:val="clear" w:color="auto" w:fill="auto"/>
            <w:vAlign w:val="center"/>
          </w:tcPr>
          <w:p w14:paraId="29C6DE36"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Plan 2024</w:t>
            </w:r>
          </w:p>
        </w:tc>
        <w:tc>
          <w:tcPr>
            <w:tcW w:w="1385" w:type="dxa"/>
            <w:shd w:val="clear" w:color="auto" w:fill="auto"/>
            <w:vAlign w:val="center"/>
          </w:tcPr>
          <w:p w14:paraId="4D478579"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INCREASE (+), DECREASE (-) (%)</w:t>
            </w:r>
          </w:p>
        </w:tc>
      </w:tr>
      <w:tr w:rsidR="004E262C" w:rsidRPr="000E6C64" w14:paraId="6315438A" w14:textId="77777777">
        <w:tc>
          <w:tcPr>
            <w:tcW w:w="4194" w:type="dxa"/>
            <w:shd w:val="clear" w:color="auto" w:fill="auto"/>
            <w:vAlign w:val="center"/>
          </w:tcPr>
          <w:p w14:paraId="452392FA" w14:textId="77777777" w:rsidR="004E262C" w:rsidRPr="000E6C64" w:rsidRDefault="00727AC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Total revenue, in which:</w:t>
            </w:r>
          </w:p>
        </w:tc>
        <w:tc>
          <w:tcPr>
            <w:tcW w:w="848" w:type="dxa"/>
            <w:shd w:val="clear" w:color="auto" w:fill="auto"/>
            <w:vAlign w:val="center"/>
          </w:tcPr>
          <w:p w14:paraId="00CA683A"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Million VND</w:t>
            </w:r>
          </w:p>
        </w:tc>
        <w:tc>
          <w:tcPr>
            <w:tcW w:w="1340" w:type="dxa"/>
            <w:shd w:val="clear" w:color="auto" w:fill="auto"/>
            <w:vAlign w:val="center"/>
          </w:tcPr>
          <w:p w14:paraId="700D1FA8"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85,136</w:t>
            </w:r>
          </w:p>
        </w:tc>
        <w:tc>
          <w:tcPr>
            <w:tcW w:w="1250" w:type="dxa"/>
            <w:shd w:val="clear" w:color="auto" w:fill="auto"/>
            <w:vAlign w:val="center"/>
          </w:tcPr>
          <w:p w14:paraId="42845EC7"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106,937</w:t>
            </w:r>
          </w:p>
        </w:tc>
        <w:tc>
          <w:tcPr>
            <w:tcW w:w="1385" w:type="dxa"/>
            <w:shd w:val="clear" w:color="auto" w:fill="auto"/>
            <w:vAlign w:val="center"/>
          </w:tcPr>
          <w:p w14:paraId="6B34C923"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25.61%</w:t>
            </w:r>
          </w:p>
        </w:tc>
      </w:tr>
      <w:tr w:rsidR="004E262C" w:rsidRPr="000E6C64" w14:paraId="44D7C920" w14:textId="77777777">
        <w:tc>
          <w:tcPr>
            <w:tcW w:w="4194" w:type="dxa"/>
            <w:shd w:val="clear" w:color="auto" w:fill="auto"/>
            <w:vAlign w:val="center"/>
          </w:tcPr>
          <w:p w14:paraId="41CD00D7" w14:textId="77777777" w:rsidR="004E262C" w:rsidRPr="000E6C64" w:rsidRDefault="00727AC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Clean water revenue</w:t>
            </w:r>
          </w:p>
        </w:tc>
        <w:tc>
          <w:tcPr>
            <w:tcW w:w="848" w:type="dxa"/>
            <w:shd w:val="clear" w:color="auto" w:fill="auto"/>
            <w:vAlign w:val="center"/>
          </w:tcPr>
          <w:p w14:paraId="70A60DAC"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w:t>
            </w:r>
          </w:p>
        </w:tc>
        <w:tc>
          <w:tcPr>
            <w:tcW w:w="1340" w:type="dxa"/>
            <w:shd w:val="clear" w:color="auto" w:fill="auto"/>
            <w:vAlign w:val="center"/>
          </w:tcPr>
          <w:p w14:paraId="2D6769F5"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74,349</w:t>
            </w:r>
          </w:p>
        </w:tc>
        <w:tc>
          <w:tcPr>
            <w:tcW w:w="1250" w:type="dxa"/>
            <w:shd w:val="clear" w:color="auto" w:fill="auto"/>
            <w:vAlign w:val="center"/>
          </w:tcPr>
          <w:p w14:paraId="7358BA30"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98,772</w:t>
            </w:r>
          </w:p>
        </w:tc>
        <w:tc>
          <w:tcPr>
            <w:tcW w:w="1385" w:type="dxa"/>
            <w:shd w:val="clear" w:color="auto" w:fill="auto"/>
            <w:vAlign w:val="center"/>
          </w:tcPr>
          <w:p w14:paraId="2DEBA9A4"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32.85%</w:t>
            </w:r>
          </w:p>
        </w:tc>
      </w:tr>
      <w:tr w:rsidR="004E262C" w:rsidRPr="000E6C64" w14:paraId="376771B1" w14:textId="77777777">
        <w:tc>
          <w:tcPr>
            <w:tcW w:w="4194" w:type="dxa"/>
            <w:shd w:val="clear" w:color="auto" w:fill="auto"/>
            <w:vAlign w:val="center"/>
          </w:tcPr>
          <w:p w14:paraId="254BB495" w14:textId="77777777" w:rsidR="004E262C" w:rsidRPr="000E6C64" w:rsidRDefault="00727AC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Construction revenue decreased (due to transfer of work to Subsidiaries)</w:t>
            </w:r>
          </w:p>
        </w:tc>
        <w:tc>
          <w:tcPr>
            <w:tcW w:w="848" w:type="dxa"/>
            <w:shd w:val="clear" w:color="auto" w:fill="auto"/>
            <w:vAlign w:val="center"/>
          </w:tcPr>
          <w:p w14:paraId="645B7771"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w:t>
            </w:r>
          </w:p>
        </w:tc>
        <w:tc>
          <w:tcPr>
            <w:tcW w:w="1340" w:type="dxa"/>
            <w:shd w:val="clear" w:color="auto" w:fill="auto"/>
            <w:vAlign w:val="center"/>
          </w:tcPr>
          <w:p w14:paraId="2402168D"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0" w:name="_GoBack"/>
            <w:bookmarkEnd w:id="0"/>
            <w:r w:rsidRPr="000E6C64">
              <w:rPr>
                <w:rFonts w:ascii="Arial" w:hAnsi="Arial"/>
                <w:color w:val="010000"/>
                <w:sz w:val="20"/>
              </w:rPr>
              <w:t>5,650</w:t>
            </w:r>
          </w:p>
        </w:tc>
        <w:tc>
          <w:tcPr>
            <w:tcW w:w="1250" w:type="dxa"/>
            <w:shd w:val="clear" w:color="auto" w:fill="auto"/>
            <w:vAlign w:val="center"/>
          </w:tcPr>
          <w:p w14:paraId="7F27D34B"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2,000</w:t>
            </w:r>
          </w:p>
        </w:tc>
        <w:tc>
          <w:tcPr>
            <w:tcW w:w="1385" w:type="dxa"/>
            <w:shd w:val="clear" w:color="auto" w:fill="auto"/>
            <w:vAlign w:val="center"/>
          </w:tcPr>
          <w:p w14:paraId="35E1EDAA"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-64.6%</w:t>
            </w:r>
          </w:p>
        </w:tc>
      </w:tr>
      <w:tr w:rsidR="004E262C" w:rsidRPr="000E6C64" w14:paraId="2628FDD8" w14:textId="77777777">
        <w:tc>
          <w:tcPr>
            <w:tcW w:w="4194" w:type="dxa"/>
            <w:shd w:val="clear" w:color="auto" w:fill="auto"/>
            <w:vAlign w:val="center"/>
          </w:tcPr>
          <w:p w14:paraId="16817276" w14:textId="77777777" w:rsidR="004E262C" w:rsidRPr="000E6C64" w:rsidRDefault="00727AC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Other revenue + financial activity revenue</w:t>
            </w:r>
          </w:p>
        </w:tc>
        <w:tc>
          <w:tcPr>
            <w:tcW w:w="848" w:type="dxa"/>
            <w:shd w:val="clear" w:color="auto" w:fill="auto"/>
            <w:vAlign w:val="center"/>
          </w:tcPr>
          <w:p w14:paraId="7F10E690"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w:t>
            </w:r>
          </w:p>
        </w:tc>
        <w:tc>
          <w:tcPr>
            <w:tcW w:w="1340" w:type="dxa"/>
            <w:shd w:val="clear" w:color="auto" w:fill="auto"/>
            <w:vAlign w:val="center"/>
          </w:tcPr>
          <w:p w14:paraId="466A3060"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5,137</w:t>
            </w:r>
          </w:p>
        </w:tc>
        <w:tc>
          <w:tcPr>
            <w:tcW w:w="1250" w:type="dxa"/>
            <w:shd w:val="clear" w:color="auto" w:fill="auto"/>
            <w:vAlign w:val="center"/>
          </w:tcPr>
          <w:p w14:paraId="72CEBBB2"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6,165</w:t>
            </w:r>
          </w:p>
        </w:tc>
        <w:tc>
          <w:tcPr>
            <w:tcW w:w="1385" w:type="dxa"/>
            <w:shd w:val="clear" w:color="auto" w:fill="auto"/>
            <w:vAlign w:val="center"/>
          </w:tcPr>
          <w:p w14:paraId="0003A04B"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20.00%</w:t>
            </w:r>
          </w:p>
        </w:tc>
      </w:tr>
      <w:tr w:rsidR="004E262C" w:rsidRPr="000E6C64" w14:paraId="7E059B08" w14:textId="77777777">
        <w:tc>
          <w:tcPr>
            <w:tcW w:w="4194" w:type="dxa"/>
            <w:shd w:val="clear" w:color="auto" w:fill="auto"/>
            <w:vAlign w:val="center"/>
          </w:tcPr>
          <w:p w14:paraId="0D9EFB79" w14:textId="77777777" w:rsidR="004E262C" w:rsidRPr="000E6C64" w:rsidRDefault="00727AC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Total profit after tax</w:t>
            </w:r>
          </w:p>
        </w:tc>
        <w:tc>
          <w:tcPr>
            <w:tcW w:w="848" w:type="dxa"/>
            <w:shd w:val="clear" w:color="auto" w:fill="auto"/>
            <w:vAlign w:val="center"/>
          </w:tcPr>
          <w:p w14:paraId="27221482"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Million VND</w:t>
            </w:r>
          </w:p>
        </w:tc>
        <w:tc>
          <w:tcPr>
            <w:tcW w:w="1340" w:type="dxa"/>
            <w:shd w:val="clear" w:color="auto" w:fill="auto"/>
            <w:vAlign w:val="center"/>
          </w:tcPr>
          <w:p w14:paraId="61797C41"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10,771</w:t>
            </w:r>
          </w:p>
        </w:tc>
        <w:tc>
          <w:tcPr>
            <w:tcW w:w="1250" w:type="dxa"/>
            <w:shd w:val="clear" w:color="auto" w:fill="auto"/>
            <w:vAlign w:val="center"/>
          </w:tcPr>
          <w:p w14:paraId="0CA0B494"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13,530</w:t>
            </w:r>
          </w:p>
        </w:tc>
        <w:tc>
          <w:tcPr>
            <w:tcW w:w="1385" w:type="dxa"/>
            <w:shd w:val="clear" w:color="auto" w:fill="auto"/>
            <w:vAlign w:val="center"/>
          </w:tcPr>
          <w:p w14:paraId="0C3C3D3A"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2.56%</w:t>
            </w:r>
          </w:p>
        </w:tc>
      </w:tr>
      <w:tr w:rsidR="004E262C" w:rsidRPr="000E6C64" w14:paraId="2EF46576" w14:textId="77777777">
        <w:tc>
          <w:tcPr>
            <w:tcW w:w="4194" w:type="dxa"/>
            <w:shd w:val="clear" w:color="auto" w:fill="auto"/>
            <w:vAlign w:val="center"/>
          </w:tcPr>
          <w:p w14:paraId="38196E41" w14:textId="77777777" w:rsidR="004E262C" w:rsidRPr="000E6C64" w:rsidRDefault="00727AC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Average income person per month</w:t>
            </w:r>
          </w:p>
        </w:tc>
        <w:tc>
          <w:tcPr>
            <w:tcW w:w="848" w:type="dxa"/>
            <w:shd w:val="clear" w:color="auto" w:fill="auto"/>
            <w:vAlign w:val="center"/>
          </w:tcPr>
          <w:p w14:paraId="42A78044"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Million VND</w:t>
            </w:r>
          </w:p>
        </w:tc>
        <w:tc>
          <w:tcPr>
            <w:tcW w:w="1340" w:type="dxa"/>
            <w:shd w:val="clear" w:color="auto" w:fill="auto"/>
            <w:vAlign w:val="center"/>
          </w:tcPr>
          <w:p w14:paraId="2EF08393"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8.5</w:t>
            </w:r>
          </w:p>
        </w:tc>
        <w:tc>
          <w:tcPr>
            <w:tcW w:w="1250" w:type="dxa"/>
            <w:shd w:val="clear" w:color="auto" w:fill="auto"/>
            <w:vAlign w:val="center"/>
          </w:tcPr>
          <w:p w14:paraId="5BF47432"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8.5</w:t>
            </w:r>
          </w:p>
        </w:tc>
        <w:tc>
          <w:tcPr>
            <w:tcW w:w="1385" w:type="dxa"/>
            <w:shd w:val="clear" w:color="auto" w:fill="auto"/>
            <w:vAlign w:val="center"/>
          </w:tcPr>
          <w:p w14:paraId="4C1A7B2E"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0.00%</w:t>
            </w:r>
          </w:p>
        </w:tc>
      </w:tr>
      <w:tr w:rsidR="004E262C" w:rsidRPr="000E6C64" w14:paraId="37808A8A" w14:textId="77777777">
        <w:tc>
          <w:tcPr>
            <w:tcW w:w="4194" w:type="dxa"/>
            <w:shd w:val="clear" w:color="auto" w:fill="auto"/>
            <w:vAlign w:val="center"/>
          </w:tcPr>
          <w:p w14:paraId="70E519DC" w14:textId="77777777" w:rsidR="004E262C" w:rsidRPr="000E6C64" w:rsidRDefault="00727AC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Dividend payment rate</w:t>
            </w:r>
          </w:p>
        </w:tc>
        <w:tc>
          <w:tcPr>
            <w:tcW w:w="848" w:type="dxa"/>
            <w:shd w:val="clear" w:color="auto" w:fill="auto"/>
            <w:vAlign w:val="center"/>
          </w:tcPr>
          <w:p w14:paraId="201DFD64"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w:t>
            </w:r>
          </w:p>
        </w:tc>
        <w:tc>
          <w:tcPr>
            <w:tcW w:w="1340" w:type="dxa"/>
            <w:shd w:val="clear" w:color="auto" w:fill="auto"/>
            <w:vAlign w:val="center"/>
          </w:tcPr>
          <w:p w14:paraId="398EB188"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4.0</w:t>
            </w:r>
          </w:p>
        </w:tc>
        <w:tc>
          <w:tcPr>
            <w:tcW w:w="1250" w:type="dxa"/>
            <w:shd w:val="clear" w:color="auto" w:fill="auto"/>
            <w:vAlign w:val="center"/>
          </w:tcPr>
          <w:p w14:paraId="323D7DD5"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4.75</w:t>
            </w:r>
          </w:p>
        </w:tc>
        <w:tc>
          <w:tcPr>
            <w:tcW w:w="1385" w:type="dxa"/>
            <w:shd w:val="clear" w:color="auto" w:fill="auto"/>
            <w:vAlign w:val="center"/>
          </w:tcPr>
          <w:p w14:paraId="7C111C88"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18.75</w:t>
            </w:r>
          </w:p>
        </w:tc>
      </w:tr>
      <w:tr w:rsidR="004E262C" w:rsidRPr="000E6C64" w14:paraId="46F55BF6" w14:textId="77777777">
        <w:tc>
          <w:tcPr>
            <w:tcW w:w="4194" w:type="dxa"/>
            <w:shd w:val="clear" w:color="auto" w:fill="auto"/>
            <w:vAlign w:val="center"/>
          </w:tcPr>
          <w:p w14:paraId="594F90CB" w14:textId="732F4AA6" w:rsidR="004E262C" w:rsidRPr="000E6C64" w:rsidRDefault="00727AC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C64">
              <w:rPr>
                <w:rFonts w:ascii="Arial" w:hAnsi="Arial"/>
                <w:color w:val="010000"/>
                <w:sz w:val="20"/>
              </w:rPr>
              <w:t>Dividend level per share.</w:t>
            </w:r>
          </w:p>
        </w:tc>
        <w:tc>
          <w:tcPr>
            <w:tcW w:w="848" w:type="dxa"/>
            <w:shd w:val="clear" w:color="auto" w:fill="auto"/>
            <w:vAlign w:val="center"/>
          </w:tcPr>
          <w:p w14:paraId="5C72B295" w14:textId="77777777" w:rsidR="004E262C" w:rsidRPr="000E6C64"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6C64">
              <w:rPr>
                <w:rFonts w:ascii="Arial" w:hAnsi="Arial"/>
                <w:color w:val="010000"/>
                <w:sz w:val="20"/>
              </w:rPr>
              <w:t>VND</w:t>
            </w:r>
          </w:p>
        </w:tc>
        <w:tc>
          <w:tcPr>
            <w:tcW w:w="1340" w:type="dxa"/>
            <w:shd w:val="clear" w:color="auto" w:fill="auto"/>
            <w:vAlign w:val="center"/>
          </w:tcPr>
          <w:p w14:paraId="3739DB1E"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400</w:t>
            </w:r>
          </w:p>
        </w:tc>
        <w:tc>
          <w:tcPr>
            <w:tcW w:w="1250" w:type="dxa"/>
            <w:shd w:val="clear" w:color="auto" w:fill="auto"/>
            <w:vAlign w:val="center"/>
          </w:tcPr>
          <w:p w14:paraId="4197D156"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475</w:t>
            </w:r>
          </w:p>
        </w:tc>
        <w:tc>
          <w:tcPr>
            <w:tcW w:w="1385" w:type="dxa"/>
            <w:shd w:val="clear" w:color="auto" w:fill="auto"/>
            <w:vAlign w:val="center"/>
          </w:tcPr>
          <w:p w14:paraId="784695FF" w14:textId="77777777" w:rsidR="004E262C" w:rsidRPr="000E6C64"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E6C64">
              <w:rPr>
                <w:rFonts w:ascii="Arial" w:hAnsi="Arial"/>
                <w:color w:val="010000"/>
                <w:sz w:val="20"/>
              </w:rPr>
              <w:t>18.75%</w:t>
            </w:r>
          </w:p>
        </w:tc>
      </w:tr>
    </w:tbl>
    <w:p w14:paraId="4DD5BDD0" w14:textId="77777777" w:rsidR="004E262C" w:rsidRDefault="00727AC2" w:rsidP="00E86DFD">
      <w:pPr>
        <w:pBdr>
          <w:top w:val="nil"/>
          <w:left w:val="nil"/>
          <w:bottom w:val="nil"/>
          <w:right w:val="nil"/>
          <w:between w:val="nil"/>
        </w:pBdr>
        <w:tabs>
          <w:tab w:val="left" w:pos="432"/>
          <w:tab w:val="left" w:pos="9528"/>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entire content of the Report of the Supervisory Board of Quang Ngai Water Supply Sewerage and Construction Joint Stock Company. </w:t>
      </w:r>
    </w:p>
    <w:p w14:paraId="1BDFBF6A"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entire content of the Board of Directors' Proposal on approving the Audited Financial Statements 2023.</w:t>
      </w:r>
    </w:p>
    <w:p w14:paraId="71BEF9BB"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entire content of the Board of Directors' Proposal on the plan on profit distributed after tax in 2023 of the Company.</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3"/>
        <w:gridCol w:w="878"/>
        <w:gridCol w:w="1886"/>
      </w:tblGrid>
      <w:tr w:rsidR="004E262C" w:rsidRPr="000E6C64" w14:paraId="5333621F" w14:textId="77777777">
        <w:tc>
          <w:tcPr>
            <w:tcW w:w="6253" w:type="dxa"/>
            <w:shd w:val="clear" w:color="auto" w:fill="auto"/>
            <w:vAlign w:val="center"/>
          </w:tcPr>
          <w:p w14:paraId="467F6BED"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Content</w:t>
            </w:r>
          </w:p>
        </w:tc>
        <w:tc>
          <w:tcPr>
            <w:tcW w:w="878" w:type="dxa"/>
            <w:shd w:val="clear" w:color="auto" w:fill="auto"/>
            <w:vAlign w:val="center"/>
          </w:tcPr>
          <w:p w14:paraId="215C39A4"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Rate (%)</w:t>
            </w:r>
          </w:p>
        </w:tc>
        <w:tc>
          <w:tcPr>
            <w:tcW w:w="1886" w:type="dxa"/>
            <w:shd w:val="clear" w:color="auto" w:fill="auto"/>
            <w:vAlign w:val="center"/>
          </w:tcPr>
          <w:p w14:paraId="6A1C1A8C"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Amount</w:t>
            </w:r>
          </w:p>
        </w:tc>
      </w:tr>
      <w:tr w:rsidR="004E262C" w:rsidRPr="000E6C64" w14:paraId="2079D4D6" w14:textId="77777777">
        <w:tc>
          <w:tcPr>
            <w:tcW w:w="6253" w:type="dxa"/>
            <w:shd w:val="clear" w:color="auto" w:fill="auto"/>
            <w:vAlign w:val="center"/>
          </w:tcPr>
          <w:p w14:paraId="7548235D" w14:textId="77777777" w:rsidR="004E262C" w:rsidRPr="00467089" w:rsidRDefault="00727AC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Total profit according to Plan</w:t>
            </w:r>
          </w:p>
        </w:tc>
        <w:tc>
          <w:tcPr>
            <w:tcW w:w="878" w:type="dxa"/>
            <w:shd w:val="clear" w:color="auto" w:fill="auto"/>
            <w:vAlign w:val="center"/>
          </w:tcPr>
          <w:p w14:paraId="6B819A66"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660D1F62"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8,650,000,000</w:t>
            </w:r>
          </w:p>
        </w:tc>
      </w:tr>
      <w:tr w:rsidR="004E262C" w:rsidRPr="000E6C64" w14:paraId="6A06C726" w14:textId="77777777">
        <w:tc>
          <w:tcPr>
            <w:tcW w:w="6253" w:type="dxa"/>
            <w:shd w:val="clear" w:color="auto" w:fill="auto"/>
            <w:vAlign w:val="center"/>
          </w:tcPr>
          <w:p w14:paraId="7CE6CE3C" w14:textId="77777777" w:rsidR="004E262C" w:rsidRPr="00467089" w:rsidRDefault="00727AC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Total profit Realized after corporate income tax</w:t>
            </w:r>
          </w:p>
        </w:tc>
        <w:tc>
          <w:tcPr>
            <w:tcW w:w="878" w:type="dxa"/>
            <w:shd w:val="clear" w:color="auto" w:fill="auto"/>
            <w:vAlign w:val="center"/>
          </w:tcPr>
          <w:p w14:paraId="3D82D25A"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5ECC9897"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10,502,899,696</w:t>
            </w:r>
          </w:p>
        </w:tc>
      </w:tr>
      <w:tr w:rsidR="004E262C" w:rsidRPr="000E6C64" w14:paraId="52777BD4" w14:textId="77777777">
        <w:tc>
          <w:tcPr>
            <w:tcW w:w="6253" w:type="dxa"/>
            <w:shd w:val="clear" w:color="auto" w:fill="auto"/>
            <w:vAlign w:val="center"/>
          </w:tcPr>
          <w:p w14:paraId="2112E508" w14:textId="77777777" w:rsidR="004E262C" w:rsidRPr="00467089" w:rsidRDefault="00727AC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Profit exceeded plan: (I-II)</w:t>
            </w:r>
          </w:p>
        </w:tc>
        <w:tc>
          <w:tcPr>
            <w:tcW w:w="878" w:type="dxa"/>
            <w:shd w:val="clear" w:color="auto" w:fill="auto"/>
            <w:vAlign w:val="center"/>
          </w:tcPr>
          <w:p w14:paraId="6CE930C8"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4901506F"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1,852,899,696</w:t>
            </w:r>
          </w:p>
        </w:tc>
      </w:tr>
      <w:tr w:rsidR="004E262C" w:rsidRPr="000E6C64" w14:paraId="729B3C8B" w14:textId="77777777">
        <w:tc>
          <w:tcPr>
            <w:tcW w:w="6253" w:type="dxa"/>
            <w:shd w:val="clear" w:color="auto" w:fill="auto"/>
            <w:vAlign w:val="center"/>
          </w:tcPr>
          <w:p w14:paraId="4CD6551F"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lastRenderedPageBreak/>
              <w:t>Appropriation for the Board of Directors and the Supervisory Board bonus fund</w:t>
            </w:r>
          </w:p>
        </w:tc>
        <w:tc>
          <w:tcPr>
            <w:tcW w:w="878" w:type="dxa"/>
            <w:shd w:val="clear" w:color="auto" w:fill="auto"/>
            <w:vAlign w:val="center"/>
          </w:tcPr>
          <w:p w14:paraId="558C6FAF"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07A57C39"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444,789,970</w:t>
            </w:r>
          </w:p>
        </w:tc>
      </w:tr>
      <w:tr w:rsidR="004E262C" w:rsidRPr="000E6C64" w14:paraId="3AFBAAEA" w14:textId="77777777">
        <w:tc>
          <w:tcPr>
            <w:tcW w:w="6253" w:type="dxa"/>
            <w:shd w:val="clear" w:color="auto" w:fill="auto"/>
            <w:vAlign w:val="center"/>
          </w:tcPr>
          <w:p w14:paraId="486E9648" w14:textId="77777777" w:rsidR="004E262C" w:rsidRPr="00467089" w:rsidRDefault="00727AC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according to profit completes the plan = (II * 3%)</w:t>
            </w:r>
          </w:p>
        </w:tc>
        <w:tc>
          <w:tcPr>
            <w:tcW w:w="878" w:type="dxa"/>
            <w:shd w:val="clear" w:color="auto" w:fill="auto"/>
            <w:vAlign w:val="center"/>
          </w:tcPr>
          <w:p w14:paraId="558836AD"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3%</w:t>
            </w:r>
          </w:p>
        </w:tc>
        <w:tc>
          <w:tcPr>
            <w:tcW w:w="1886" w:type="dxa"/>
            <w:shd w:val="clear" w:color="auto" w:fill="auto"/>
            <w:vAlign w:val="center"/>
          </w:tcPr>
          <w:p w14:paraId="65A6619D"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259,500,000</w:t>
            </w:r>
          </w:p>
        </w:tc>
      </w:tr>
      <w:tr w:rsidR="004E262C" w:rsidRPr="000E6C64" w14:paraId="3197B4C7" w14:textId="77777777">
        <w:tc>
          <w:tcPr>
            <w:tcW w:w="6253" w:type="dxa"/>
            <w:shd w:val="clear" w:color="auto" w:fill="auto"/>
            <w:vAlign w:val="center"/>
          </w:tcPr>
          <w:p w14:paraId="63D8958B" w14:textId="77777777" w:rsidR="004E262C" w:rsidRPr="00467089" w:rsidRDefault="00727AC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profit exceeding the plan: III*10%</w:t>
            </w:r>
          </w:p>
        </w:tc>
        <w:tc>
          <w:tcPr>
            <w:tcW w:w="878" w:type="dxa"/>
            <w:shd w:val="clear" w:color="auto" w:fill="auto"/>
            <w:vAlign w:val="center"/>
          </w:tcPr>
          <w:p w14:paraId="06EDDABA"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10%</w:t>
            </w:r>
          </w:p>
        </w:tc>
        <w:tc>
          <w:tcPr>
            <w:tcW w:w="1886" w:type="dxa"/>
            <w:shd w:val="clear" w:color="auto" w:fill="auto"/>
            <w:vAlign w:val="center"/>
          </w:tcPr>
          <w:p w14:paraId="6DECD441"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185,289,970</w:t>
            </w:r>
          </w:p>
        </w:tc>
      </w:tr>
      <w:tr w:rsidR="004E262C" w:rsidRPr="000E6C64" w14:paraId="68CE8F52" w14:textId="77777777">
        <w:tc>
          <w:tcPr>
            <w:tcW w:w="6253" w:type="dxa"/>
            <w:shd w:val="clear" w:color="auto" w:fill="auto"/>
            <w:vAlign w:val="center"/>
          </w:tcPr>
          <w:p w14:paraId="23FF172D"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for the Executive Board of the company Bonus</w:t>
            </w:r>
          </w:p>
        </w:tc>
        <w:tc>
          <w:tcPr>
            <w:tcW w:w="878" w:type="dxa"/>
            <w:shd w:val="clear" w:color="auto" w:fill="auto"/>
            <w:vAlign w:val="center"/>
          </w:tcPr>
          <w:p w14:paraId="0C28EDDF"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193A334B"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142,086,991</w:t>
            </w:r>
          </w:p>
        </w:tc>
      </w:tr>
      <w:tr w:rsidR="004E262C" w:rsidRPr="000E6C64" w14:paraId="16987CF8" w14:textId="77777777">
        <w:tc>
          <w:tcPr>
            <w:tcW w:w="6253" w:type="dxa"/>
            <w:shd w:val="clear" w:color="auto" w:fill="auto"/>
            <w:vAlign w:val="center"/>
          </w:tcPr>
          <w:p w14:paraId="575D3D24" w14:textId="77777777" w:rsidR="004E262C" w:rsidRPr="00467089" w:rsidRDefault="00727AC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according to profit completes the plan: = (II * 1%)</w:t>
            </w:r>
          </w:p>
        </w:tc>
        <w:tc>
          <w:tcPr>
            <w:tcW w:w="878" w:type="dxa"/>
            <w:shd w:val="clear" w:color="auto" w:fill="auto"/>
            <w:vAlign w:val="center"/>
          </w:tcPr>
          <w:p w14:paraId="2EFF6DB0"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1.%</w:t>
            </w:r>
          </w:p>
        </w:tc>
        <w:tc>
          <w:tcPr>
            <w:tcW w:w="1886" w:type="dxa"/>
            <w:shd w:val="clear" w:color="auto" w:fill="auto"/>
            <w:vAlign w:val="center"/>
          </w:tcPr>
          <w:p w14:paraId="181FCA16"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86,500,000</w:t>
            </w:r>
          </w:p>
        </w:tc>
      </w:tr>
      <w:tr w:rsidR="004E262C" w:rsidRPr="000E6C64" w14:paraId="0D87EA17" w14:textId="77777777">
        <w:tc>
          <w:tcPr>
            <w:tcW w:w="6253" w:type="dxa"/>
            <w:shd w:val="clear" w:color="auto" w:fill="auto"/>
            <w:vAlign w:val="center"/>
          </w:tcPr>
          <w:p w14:paraId="72FEFACD" w14:textId="77777777" w:rsidR="004E262C" w:rsidRPr="00467089" w:rsidRDefault="00727AC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profit exceeding the plan: III*3%</w:t>
            </w:r>
          </w:p>
        </w:tc>
        <w:tc>
          <w:tcPr>
            <w:tcW w:w="878" w:type="dxa"/>
            <w:shd w:val="clear" w:color="auto" w:fill="auto"/>
            <w:vAlign w:val="center"/>
          </w:tcPr>
          <w:p w14:paraId="3AE879F7"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3.0%</w:t>
            </w:r>
          </w:p>
        </w:tc>
        <w:tc>
          <w:tcPr>
            <w:tcW w:w="1886" w:type="dxa"/>
            <w:shd w:val="clear" w:color="auto" w:fill="auto"/>
            <w:vAlign w:val="center"/>
          </w:tcPr>
          <w:p w14:paraId="039BDD5D"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55,586,991</w:t>
            </w:r>
          </w:p>
        </w:tc>
      </w:tr>
      <w:tr w:rsidR="004E262C" w:rsidRPr="000E6C64" w14:paraId="0E02C0B3" w14:textId="77777777">
        <w:tc>
          <w:tcPr>
            <w:tcW w:w="6253" w:type="dxa"/>
            <w:shd w:val="clear" w:color="auto" w:fill="auto"/>
            <w:vAlign w:val="center"/>
          </w:tcPr>
          <w:p w14:paraId="322C3BC3"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for Investment and development fund</w:t>
            </w:r>
          </w:p>
        </w:tc>
        <w:tc>
          <w:tcPr>
            <w:tcW w:w="878" w:type="dxa"/>
            <w:shd w:val="clear" w:color="auto" w:fill="auto"/>
            <w:vAlign w:val="center"/>
          </w:tcPr>
          <w:p w14:paraId="65FD85A6"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49FD1B07"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1,050,289,970</w:t>
            </w:r>
          </w:p>
        </w:tc>
      </w:tr>
      <w:tr w:rsidR="004E262C" w:rsidRPr="000E6C64" w14:paraId="1DA3DA6D" w14:textId="77777777">
        <w:tc>
          <w:tcPr>
            <w:tcW w:w="6253" w:type="dxa"/>
            <w:shd w:val="clear" w:color="auto" w:fill="auto"/>
            <w:vAlign w:val="center"/>
          </w:tcPr>
          <w:p w14:paraId="1AA74EBF" w14:textId="77777777" w:rsidR="004E262C" w:rsidRPr="00467089" w:rsidRDefault="00727AC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according to realized profit (II X 10%)</w:t>
            </w:r>
          </w:p>
        </w:tc>
        <w:tc>
          <w:tcPr>
            <w:tcW w:w="878" w:type="dxa"/>
            <w:shd w:val="clear" w:color="auto" w:fill="auto"/>
            <w:vAlign w:val="center"/>
          </w:tcPr>
          <w:p w14:paraId="1F84C650"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10%</w:t>
            </w:r>
          </w:p>
        </w:tc>
        <w:tc>
          <w:tcPr>
            <w:tcW w:w="1886" w:type="dxa"/>
            <w:shd w:val="clear" w:color="auto" w:fill="auto"/>
            <w:vAlign w:val="center"/>
          </w:tcPr>
          <w:p w14:paraId="43B8A522"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1,050,289,970</w:t>
            </w:r>
          </w:p>
        </w:tc>
      </w:tr>
      <w:tr w:rsidR="004E262C" w:rsidRPr="000E6C64" w14:paraId="52A71287" w14:textId="77777777">
        <w:tc>
          <w:tcPr>
            <w:tcW w:w="6253" w:type="dxa"/>
            <w:shd w:val="clear" w:color="auto" w:fill="auto"/>
            <w:vAlign w:val="center"/>
          </w:tcPr>
          <w:p w14:paraId="31FF4F9B"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Bonus and welfare fund</w:t>
            </w:r>
          </w:p>
        </w:tc>
        <w:tc>
          <w:tcPr>
            <w:tcW w:w="878" w:type="dxa"/>
            <w:shd w:val="clear" w:color="auto" w:fill="auto"/>
            <w:vAlign w:val="center"/>
          </w:tcPr>
          <w:p w14:paraId="2A9DB624"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7F614BD4"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315,086,991</w:t>
            </w:r>
          </w:p>
        </w:tc>
      </w:tr>
      <w:tr w:rsidR="004E262C" w:rsidRPr="000E6C64" w14:paraId="2900580B" w14:textId="77777777">
        <w:tc>
          <w:tcPr>
            <w:tcW w:w="6253" w:type="dxa"/>
            <w:shd w:val="clear" w:color="auto" w:fill="auto"/>
            <w:vAlign w:val="center"/>
          </w:tcPr>
          <w:p w14:paraId="6E7EB176" w14:textId="77777777" w:rsidR="004E262C" w:rsidRPr="00467089" w:rsidRDefault="00727AC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Appropriation according to realized profit (II X 3%)</w:t>
            </w:r>
          </w:p>
        </w:tc>
        <w:tc>
          <w:tcPr>
            <w:tcW w:w="878" w:type="dxa"/>
            <w:shd w:val="clear" w:color="auto" w:fill="auto"/>
            <w:vAlign w:val="center"/>
          </w:tcPr>
          <w:p w14:paraId="0D6AF5B4" w14:textId="77777777" w:rsidR="004E262C" w:rsidRPr="00467089" w:rsidRDefault="00727A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7089">
              <w:rPr>
                <w:rFonts w:ascii="Arial" w:hAnsi="Arial"/>
                <w:color w:val="010000"/>
                <w:sz w:val="20"/>
              </w:rPr>
              <w:t>3%</w:t>
            </w:r>
          </w:p>
        </w:tc>
        <w:tc>
          <w:tcPr>
            <w:tcW w:w="1886" w:type="dxa"/>
            <w:shd w:val="clear" w:color="auto" w:fill="auto"/>
            <w:vAlign w:val="center"/>
          </w:tcPr>
          <w:p w14:paraId="5B60BB5A"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315,086,991</w:t>
            </w:r>
          </w:p>
        </w:tc>
      </w:tr>
      <w:tr w:rsidR="004E262C" w:rsidRPr="000E6C64" w14:paraId="6856FEAF" w14:textId="77777777">
        <w:tc>
          <w:tcPr>
            <w:tcW w:w="6253" w:type="dxa"/>
            <w:shd w:val="clear" w:color="auto" w:fill="auto"/>
            <w:vAlign w:val="center"/>
          </w:tcPr>
          <w:p w14:paraId="0D3E6A80"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Remaining profit [II-(l+2+3+4)]</w:t>
            </w:r>
          </w:p>
        </w:tc>
        <w:tc>
          <w:tcPr>
            <w:tcW w:w="878" w:type="dxa"/>
            <w:shd w:val="clear" w:color="auto" w:fill="auto"/>
            <w:vAlign w:val="center"/>
          </w:tcPr>
          <w:p w14:paraId="2E88756F"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440E015C"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8,550,645,745</w:t>
            </w:r>
          </w:p>
        </w:tc>
      </w:tr>
      <w:tr w:rsidR="004E262C" w:rsidRPr="000E6C64" w14:paraId="3724CFB9" w14:textId="77777777">
        <w:tc>
          <w:tcPr>
            <w:tcW w:w="6253" w:type="dxa"/>
            <w:shd w:val="clear" w:color="auto" w:fill="auto"/>
            <w:vAlign w:val="center"/>
          </w:tcPr>
          <w:p w14:paraId="6C757EBA"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Undistributed profits at the end of the previous period</w:t>
            </w:r>
          </w:p>
        </w:tc>
        <w:tc>
          <w:tcPr>
            <w:tcW w:w="878" w:type="dxa"/>
            <w:shd w:val="clear" w:color="auto" w:fill="auto"/>
            <w:vAlign w:val="center"/>
          </w:tcPr>
          <w:p w14:paraId="728B88C6"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6E0B00A6"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689,239,728</w:t>
            </w:r>
          </w:p>
        </w:tc>
      </w:tr>
      <w:tr w:rsidR="004E262C" w:rsidRPr="000E6C64" w14:paraId="3393C461" w14:textId="77777777">
        <w:tc>
          <w:tcPr>
            <w:tcW w:w="6253" w:type="dxa"/>
            <w:shd w:val="clear" w:color="auto" w:fill="auto"/>
            <w:vAlign w:val="center"/>
          </w:tcPr>
          <w:p w14:paraId="1A41C9F2"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Total accumulated profit up to this period (5+6)</w:t>
            </w:r>
          </w:p>
        </w:tc>
        <w:tc>
          <w:tcPr>
            <w:tcW w:w="878" w:type="dxa"/>
            <w:shd w:val="clear" w:color="auto" w:fill="auto"/>
            <w:vAlign w:val="center"/>
          </w:tcPr>
          <w:p w14:paraId="68ED054E"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67F16A9C"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9,239,885,473</w:t>
            </w:r>
          </w:p>
        </w:tc>
      </w:tr>
      <w:tr w:rsidR="004E262C" w:rsidRPr="000E6C64" w14:paraId="7EA24063" w14:textId="77777777">
        <w:tc>
          <w:tcPr>
            <w:tcW w:w="6253" w:type="dxa"/>
            <w:shd w:val="clear" w:color="auto" w:fill="auto"/>
            <w:vAlign w:val="center"/>
          </w:tcPr>
          <w:p w14:paraId="46E191AF"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Total profits distributed to shareholders this period</w:t>
            </w:r>
          </w:p>
        </w:tc>
        <w:tc>
          <w:tcPr>
            <w:tcW w:w="878" w:type="dxa"/>
            <w:shd w:val="clear" w:color="auto" w:fill="auto"/>
            <w:vAlign w:val="center"/>
          </w:tcPr>
          <w:p w14:paraId="569EB53F"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219C2774"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8,000,000,000</w:t>
            </w:r>
          </w:p>
        </w:tc>
      </w:tr>
      <w:tr w:rsidR="004E262C" w:rsidRPr="000E6C64" w14:paraId="57EE8579" w14:textId="77777777">
        <w:tc>
          <w:tcPr>
            <w:tcW w:w="6253" w:type="dxa"/>
            <w:shd w:val="clear" w:color="auto" w:fill="auto"/>
            <w:vAlign w:val="center"/>
          </w:tcPr>
          <w:p w14:paraId="318D1F76"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Total shares:</w:t>
            </w:r>
          </w:p>
        </w:tc>
        <w:tc>
          <w:tcPr>
            <w:tcW w:w="878" w:type="dxa"/>
            <w:shd w:val="clear" w:color="auto" w:fill="auto"/>
            <w:vAlign w:val="center"/>
          </w:tcPr>
          <w:p w14:paraId="0DFCB156"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322BDDF3"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20,000,000</w:t>
            </w:r>
          </w:p>
        </w:tc>
      </w:tr>
      <w:tr w:rsidR="004E262C" w:rsidRPr="000E6C64" w14:paraId="4389A680" w14:textId="77777777">
        <w:tc>
          <w:tcPr>
            <w:tcW w:w="6253" w:type="dxa"/>
            <w:shd w:val="clear" w:color="auto" w:fill="auto"/>
            <w:vAlign w:val="center"/>
          </w:tcPr>
          <w:p w14:paraId="748356C2" w14:textId="77777777" w:rsidR="004E262C" w:rsidRPr="00467089" w:rsidRDefault="00727AC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67089">
              <w:rPr>
                <w:rFonts w:ascii="Arial" w:hAnsi="Arial"/>
                <w:color w:val="010000"/>
                <w:sz w:val="20"/>
              </w:rPr>
              <w:t>Dividend rate: 4.0%/par value (1 share receives VND400)</w:t>
            </w:r>
          </w:p>
        </w:tc>
        <w:tc>
          <w:tcPr>
            <w:tcW w:w="878" w:type="dxa"/>
            <w:shd w:val="clear" w:color="auto" w:fill="auto"/>
            <w:vAlign w:val="center"/>
          </w:tcPr>
          <w:p w14:paraId="6DA44E94" w14:textId="77777777" w:rsidR="004E262C" w:rsidRPr="00467089" w:rsidRDefault="004E262C">
            <w:pPr>
              <w:tabs>
                <w:tab w:val="left" w:pos="432"/>
              </w:tabs>
              <w:spacing w:after="120" w:line="360" w:lineRule="auto"/>
              <w:rPr>
                <w:rFonts w:ascii="Arial" w:eastAsia="Arial" w:hAnsi="Arial" w:cs="Arial"/>
                <w:color w:val="010000"/>
                <w:sz w:val="20"/>
                <w:szCs w:val="20"/>
              </w:rPr>
            </w:pPr>
          </w:p>
        </w:tc>
        <w:tc>
          <w:tcPr>
            <w:tcW w:w="1886" w:type="dxa"/>
            <w:shd w:val="clear" w:color="auto" w:fill="auto"/>
            <w:vAlign w:val="center"/>
          </w:tcPr>
          <w:p w14:paraId="53677894" w14:textId="77777777" w:rsidR="004E262C" w:rsidRPr="00467089" w:rsidRDefault="00727AC2" w:rsidP="0046708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67089">
              <w:rPr>
                <w:rFonts w:ascii="Arial" w:hAnsi="Arial"/>
                <w:color w:val="010000"/>
                <w:sz w:val="20"/>
              </w:rPr>
              <w:t>400</w:t>
            </w:r>
          </w:p>
        </w:tc>
      </w:tr>
    </w:tbl>
    <w:p w14:paraId="12C54316"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6.</w:t>
      </w:r>
      <w:proofErr w:type="gramEnd"/>
      <w:r>
        <w:rPr>
          <w:rFonts w:ascii="Arial" w:hAnsi="Arial"/>
          <w:color w:val="010000"/>
          <w:sz w:val="20"/>
        </w:rPr>
        <w:t xml:space="preserve"> Approve the entire content of the Board of Directors' Proposal on remuneration payments to the Board of Directors and the Supervisory Board in 2023, the remuneration settlement plan, and the appropriation for bonus funds for the Board of Directors, the Supervisory Board, and the Executive Board of the Company in 2024.</w:t>
      </w:r>
    </w:p>
    <w:p w14:paraId="34AB5A84"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entire content of the Board of Directors' Proposal on the plan to select an independent audit company to audit the Financial Statements 2024.</w:t>
      </w:r>
    </w:p>
    <w:p w14:paraId="2CBC4449"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This General Mandate was approved by the Annual General Meeting of Shareholders 2024, takes effect after the end of the Meeting and is accompanied by the following documents:</w:t>
      </w:r>
    </w:p>
    <w:p w14:paraId="4D945F30" w14:textId="77777777" w:rsidR="004E262C" w:rsidRDefault="00727AC2" w:rsidP="00E86DFD">
      <w:pPr>
        <w:numPr>
          <w:ilvl w:val="0"/>
          <w:numId w:val="6"/>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Pr>
          <w:rFonts w:ascii="Arial" w:hAnsi="Arial"/>
          <w:color w:val="010000"/>
          <w:sz w:val="20"/>
        </w:rPr>
        <w:t>Reports and Proposals presented to the Annual General Meeting of Shareholders in 2024;</w:t>
      </w:r>
    </w:p>
    <w:p w14:paraId="501496E5" w14:textId="77777777" w:rsidR="004E262C" w:rsidRDefault="00727AC2" w:rsidP="00E86DFD">
      <w:pPr>
        <w:numPr>
          <w:ilvl w:val="0"/>
          <w:numId w:val="6"/>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Pr>
          <w:rFonts w:ascii="Arial" w:hAnsi="Arial"/>
          <w:color w:val="010000"/>
          <w:sz w:val="20"/>
        </w:rPr>
        <w:t>Minutes of vote counting results at the Annual General Meeting of Shareholders 2024;</w:t>
      </w:r>
    </w:p>
    <w:p w14:paraId="40ED9C98" w14:textId="77777777" w:rsidR="004E262C" w:rsidRDefault="00727AC2" w:rsidP="00E86DFD">
      <w:pPr>
        <w:numPr>
          <w:ilvl w:val="0"/>
          <w:numId w:val="6"/>
        </w:numPr>
        <w:pBdr>
          <w:top w:val="nil"/>
          <w:left w:val="nil"/>
          <w:bottom w:val="nil"/>
          <w:right w:val="nil"/>
          <w:between w:val="nil"/>
        </w:pBdr>
        <w:tabs>
          <w:tab w:val="left" w:pos="432"/>
          <w:tab w:val="left" w:pos="889"/>
        </w:tabs>
        <w:spacing w:after="120" w:line="360" w:lineRule="auto"/>
        <w:jc w:val="both"/>
        <w:rPr>
          <w:rFonts w:ascii="Arial" w:eastAsia="Arial" w:hAnsi="Arial" w:cs="Arial"/>
          <w:color w:val="010000"/>
          <w:sz w:val="20"/>
          <w:szCs w:val="20"/>
        </w:rPr>
      </w:pPr>
      <w:r>
        <w:rPr>
          <w:rFonts w:ascii="Arial" w:hAnsi="Arial"/>
          <w:color w:val="010000"/>
          <w:sz w:val="20"/>
        </w:rPr>
        <w:t>Meeting Minutes of the Annual General Meeting of Shareholders 2024.</w:t>
      </w:r>
    </w:p>
    <w:p w14:paraId="769D3F0B" w14:textId="77777777" w:rsidR="004E262C" w:rsidRDefault="00727AC2" w:rsidP="00E86D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Effect and responsibility for implementing the General Mandate:</w:t>
      </w:r>
    </w:p>
    <w:p w14:paraId="0988824F" w14:textId="77777777" w:rsidR="004E262C" w:rsidRDefault="00727AC2" w:rsidP="00E86DFD">
      <w:pPr>
        <w:numPr>
          <w:ilvl w:val="0"/>
          <w:numId w:val="6"/>
        </w:numPr>
        <w:pBdr>
          <w:top w:val="nil"/>
          <w:left w:val="nil"/>
          <w:bottom w:val="nil"/>
          <w:right w:val="nil"/>
          <w:between w:val="nil"/>
        </w:pBdr>
        <w:tabs>
          <w:tab w:val="left" w:pos="432"/>
          <w:tab w:val="left" w:pos="871"/>
        </w:tabs>
        <w:spacing w:after="120" w:line="360" w:lineRule="auto"/>
        <w:jc w:val="both"/>
        <w:rPr>
          <w:rFonts w:ascii="Arial" w:eastAsia="Arial" w:hAnsi="Arial" w:cs="Arial"/>
          <w:color w:val="010000"/>
          <w:sz w:val="20"/>
          <w:szCs w:val="20"/>
        </w:rPr>
      </w:pPr>
      <w:r>
        <w:rPr>
          <w:rFonts w:ascii="Arial" w:hAnsi="Arial"/>
          <w:color w:val="010000"/>
          <w:sz w:val="20"/>
        </w:rPr>
        <w:t>The General Mandate was approved in full text by the Annual General Meeting of Shareholders in 2024.</w:t>
      </w:r>
    </w:p>
    <w:p w14:paraId="54FBC72C" w14:textId="77777777" w:rsidR="004E262C" w:rsidRDefault="00727AC2" w:rsidP="00E86DFD">
      <w:pPr>
        <w:numPr>
          <w:ilvl w:val="0"/>
          <w:numId w:val="6"/>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Pr>
          <w:rFonts w:ascii="Arial" w:hAnsi="Arial"/>
          <w:color w:val="010000"/>
          <w:sz w:val="20"/>
        </w:rPr>
        <w:lastRenderedPageBreak/>
        <w:t>This General Mandate takes effect from the end of the Annual General Meeting of Shareholders 2024 of Quang Ngai Water Supply Sewerage and Construction Joint Stock Company.</w:t>
      </w:r>
    </w:p>
    <w:p w14:paraId="5A14BED8" w14:textId="77777777" w:rsidR="004E262C" w:rsidRDefault="00727AC2" w:rsidP="00E86DFD">
      <w:pPr>
        <w:numPr>
          <w:ilvl w:val="0"/>
          <w:numId w:val="6"/>
        </w:numPr>
        <w:pBdr>
          <w:top w:val="nil"/>
          <w:left w:val="nil"/>
          <w:bottom w:val="nil"/>
          <w:right w:val="nil"/>
          <w:between w:val="nil"/>
        </w:pBdr>
        <w:tabs>
          <w:tab w:val="left" w:pos="432"/>
          <w:tab w:val="left" w:pos="911"/>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of Quang Ngai Water Supply Sewerage and Construction Joint Stock Company to be responsible for directing and supervising the Executive in implementing the General Mandate of the Annual General Meeting of Shareholders 2024. The Board of Directors is responsible for reporting the situation and results of the implementation of this General Mandate at the next annual meetings.</w:t>
      </w:r>
    </w:p>
    <w:sectPr w:rsidR="004E262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104"/>
    <w:multiLevelType w:val="multilevel"/>
    <w:tmpl w:val="37926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B3E98"/>
    <w:multiLevelType w:val="multilevel"/>
    <w:tmpl w:val="21647E8E"/>
    <w:lvl w:ilvl="0">
      <w:start w:val="44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E47DC1"/>
    <w:multiLevelType w:val="multilevel"/>
    <w:tmpl w:val="6F9C10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D85C60"/>
    <w:multiLevelType w:val="multilevel"/>
    <w:tmpl w:val="2D4C31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5C24668"/>
    <w:multiLevelType w:val="multilevel"/>
    <w:tmpl w:val="87A071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BD0FC5"/>
    <w:multiLevelType w:val="multilevel"/>
    <w:tmpl w:val="78945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2C"/>
    <w:rsid w:val="000E6C64"/>
    <w:rsid w:val="00467089"/>
    <w:rsid w:val="004E262C"/>
    <w:rsid w:val="00727AC2"/>
    <w:rsid w:val="00E8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40B14"/>
      <w:sz w:val="15"/>
      <w:szCs w:val="15"/>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B40B14"/>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40">
    <w:name w:val="Văn bản nội dung (4)"/>
    <w:basedOn w:val="Normal"/>
    <w:link w:val="Vnbnnidung4"/>
    <w:pPr>
      <w:spacing w:line="317" w:lineRule="auto"/>
      <w:jc w:val="right"/>
    </w:pPr>
    <w:rPr>
      <w:rFonts w:ascii="Arial" w:eastAsia="Arial" w:hAnsi="Arial" w:cs="Arial"/>
      <w:b/>
      <w:bCs/>
      <w:color w:val="B40B14"/>
      <w:sz w:val="15"/>
      <w:szCs w:val="15"/>
    </w:rPr>
  </w:style>
  <w:style w:type="paragraph" w:customStyle="1" w:styleId="Vnbnnidung50">
    <w:name w:val="Văn bản nội dung (5)"/>
    <w:basedOn w:val="Normal"/>
    <w:link w:val="Vnbnnidung5"/>
    <w:pPr>
      <w:jc w:val="right"/>
    </w:pPr>
    <w:rPr>
      <w:rFonts w:ascii="Arial" w:eastAsia="Arial" w:hAnsi="Arial" w:cs="Arial"/>
      <w:color w:val="B40B14"/>
      <w:sz w:val="17"/>
      <w:szCs w:val="17"/>
    </w:rPr>
  </w:style>
  <w:style w:type="paragraph" w:customStyle="1" w:styleId="Tiu20">
    <w:name w:val="Tiêu đề #2"/>
    <w:basedOn w:val="Normal"/>
    <w:link w:val="Tiu2"/>
    <w:pPr>
      <w:spacing w:line="269" w:lineRule="auto"/>
      <w:ind w:left="560" w:hanging="280"/>
      <w:outlineLvl w:val="1"/>
    </w:pPr>
    <w:rPr>
      <w:rFonts w:ascii="Times New Roman" w:eastAsia="Times New Roman" w:hAnsi="Times New Roman" w:cs="Times New Roman"/>
      <w:b/>
      <w:bCs/>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i/>
      <w:iCs/>
      <w:sz w:val="18"/>
      <w:szCs w:val="18"/>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95" w:lineRule="auto"/>
      <w:ind w:firstLine="37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40B14"/>
      <w:sz w:val="15"/>
      <w:szCs w:val="15"/>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B40B14"/>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40">
    <w:name w:val="Văn bản nội dung (4)"/>
    <w:basedOn w:val="Normal"/>
    <w:link w:val="Vnbnnidung4"/>
    <w:pPr>
      <w:spacing w:line="317" w:lineRule="auto"/>
      <w:jc w:val="right"/>
    </w:pPr>
    <w:rPr>
      <w:rFonts w:ascii="Arial" w:eastAsia="Arial" w:hAnsi="Arial" w:cs="Arial"/>
      <w:b/>
      <w:bCs/>
      <w:color w:val="B40B14"/>
      <w:sz w:val="15"/>
      <w:szCs w:val="15"/>
    </w:rPr>
  </w:style>
  <w:style w:type="paragraph" w:customStyle="1" w:styleId="Vnbnnidung50">
    <w:name w:val="Văn bản nội dung (5)"/>
    <w:basedOn w:val="Normal"/>
    <w:link w:val="Vnbnnidung5"/>
    <w:pPr>
      <w:jc w:val="right"/>
    </w:pPr>
    <w:rPr>
      <w:rFonts w:ascii="Arial" w:eastAsia="Arial" w:hAnsi="Arial" w:cs="Arial"/>
      <w:color w:val="B40B14"/>
      <w:sz w:val="17"/>
      <w:szCs w:val="17"/>
    </w:rPr>
  </w:style>
  <w:style w:type="paragraph" w:customStyle="1" w:styleId="Tiu20">
    <w:name w:val="Tiêu đề #2"/>
    <w:basedOn w:val="Normal"/>
    <w:link w:val="Tiu2"/>
    <w:pPr>
      <w:spacing w:line="269" w:lineRule="auto"/>
      <w:ind w:left="560" w:hanging="280"/>
      <w:outlineLvl w:val="1"/>
    </w:pPr>
    <w:rPr>
      <w:rFonts w:ascii="Times New Roman" w:eastAsia="Times New Roman" w:hAnsi="Times New Roman" w:cs="Times New Roman"/>
      <w:b/>
      <w:bCs/>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i/>
      <w:iCs/>
      <w:sz w:val="18"/>
      <w:szCs w:val="18"/>
    </w:rPr>
  </w:style>
  <w:style w:type="paragraph" w:customStyle="1" w:styleId="Khc0">
    <w:name w:val="Khác"/>
    <w:basedOn w:val="Normal"/>
    <w:link w:val="Khc"/>
    <w:pPr>
      <w:spacing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95" w:lineRule="auto"/>
      <w:ind w:firstLine="37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yFGcCzVWAoIld7ACrz2bBSA4g==">CgMxLjA4AHIhMVdnbmlEOU1JcF94eHZidGFQVHlEeldyNjBfZlBQcVRX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2024-07-02T09:24:00Z</dcterms:created>
  <dcterms:modified xsi:type="dcterms:W3CDTF">2024-07-04T07:10:00Z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f9371cc62d8393912be04b4822871b4567fdcd8688b6b282b4311537a9f39f3f</vt:lpwstr>
  </property>
</Properties>
</file>