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4D48" w:rsidRDefault="003E28BC" w:rsidP="00643ED2">
      <w:pPr>
        <w:pBdr>
          <w:top w:val="nil"/>
          <w:left w:val="nil"/>
          <w:bottom w:val="nil"/>
          <w:right w:val="nil"/>
          <w:between w:val="nil"/>
        </w:pBdr>
        <w:tabs>
          <w:tab w:val="left" w:pos="432"/>
          <w:tab w:val="left" w:pos="5054"/>
        </w:tabs>
        <w:spacing w:after="120" w:line="360" w:lineRule="auto"/>
        <w:jc w:val="both"/>
        <w:rPr>
          <w:rFonts w:ascii="Arial" w:eastAsia="Arial" w:hAnsi="Arial" w:cs="Arial"/>
          <w:b/>
          <w:color w:val="010000"/>
          <w:sz w:val="20"/>
          <w:szCs w:val="20"/>
        </w:rPr>
      </w:pPr>
      <w:r>
        <w:rPr>
          <w:rFonts w:ascii="Arial" w:hAnsi="Arial"/>
          <w:b/>
          <w:color w:val="010000"/>
          <w:sz w:val="20"/>
        </w:rPr>
        <w:t>QTC: Annual General Mandate 2024</w:t>
      </w:r>
    </w:p>
    <w:p w14:paraId="00000002" w14:textId="77777777" w:rsidR="00F34D48" w:rsidRDefault="003E28BC" w:rsidP="00643ED2">
      <w:pPr>
        <w:pBdr>
          <w:top w:val="nil"/>
          <w:left w:val="nil"/>
          <w:bottom w:val="nil"/>
          <w:right w:val="nil"/>
          <w:between w:val="nil"/>
        </w:pBdr>
        <w:tabs>
          <w:tab w:val="left" w:pos="432"/>
          <w:tab w:val="left" w:pos="5054"/>
        </w:tabs>
        <w:spacing w:after="120" w:line="360" w:lineRule="auto"/>
        <w:jc w:val="both"/>
        <w:rPr>
          <w:rFonts w:ascii="Arial" w:eastAsia="Arial" w:hAnsi="Arial" w:cs="Arial"/>
          <w:b/>
          <w:color w:val="010000"/>
          <w:sz w:val="20"/>
          <w:szCs w:val="20"/>
        </w:rPr>
      </w:pPr>
      <w:r>
        <w:rPr>
          <w:rFonts w:ascii="Arial" w:hAnsi="Arial"/>
          <w:color w:val="010000"/>
          <w:sz w:val="20"/>
        </w:rPr>
        <w:t xml:space="preserve">On June 26, 2024, Quang Nam Transportation Construction JSC announced General Mandate No. 01/2024/DHDCD as follows: </w:t>
      </w:r>
    </w:p>
    <w:p w14:paraId="00000003" w14:textId="77777777" w:rsidR="00F34D48" w:rsidRDefault="003E28BC" w:rsidP="00643ED2">
      <w:pPr>
        <w:numPr>
          <w:ilvl w:val="0"/>
          <w:numId w:val="3"/>
        </w:numPr>
        <w:pBdr>
          <w:top w:val="nil"/>
          <w:left w:val="nil"/>
          <w:bottom w:val="nil"/>
          <w:right w:val="nil"/>
          <w:between w:val="nil"/>
        </w:pBdr>
        <w:tabs>
          <w:tab w:val="left" w:pos="432"/>
          <w:tab w:val="left" w:pos="1050"/>
        </w:tabs>
        <w:spacing w:after="120" w:line="360" w:lineRule="auto"/>
        <w:jc w:val="both"/>
        <w:rPr>
          <w:rFonts w:ascii="Arial" w:eastAsia="Arial" w:hAnsi="Arial" w:cs="Arial"/>
          <w:color w:val="010000"/>
          <w:sz w:val="20"/>
          <w:szCs w:val="20"/>
        </w:rPr>
      </w:pPr>
      <w:r>
        <w:rPr>
          <w:rFonts w:ascii="Arial" w:hAnsi="Arial"/>
          <w:color w:val="010000"/>
          <w:sz w:val="20"/>
        </w:rPr>
        <w:t>Production and business plan 2024</w:t>
      </w:r>
    </w:p>
    <w:p w14:paraId="00000004" w14:textId="77777777"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Total revenue: VND72,000,000,000 </w:t>
      </w:r>
      <w:bookmarkStart w:id="0" w:name="_GoBack"/>
      <w:bookmarkEnd w:id="0"/>
    </w:p>
    <w:p w14:paraId="00000005" w14:textId="77777777"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Profit before tax: VND1,900,000,000</w:t>
      </w:r>
    </w:p>
    <w:p w14:paraId="00000006" w14:textId="77777777"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Profit after tax: VND1,520,000,000</w:t>
      </w:r>
    </w:p>
    <w:p w14:paraId="00000007" w14:textId="77777777"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Dividends: 5.6% of charter capital.</w:t>
      </w:r>
    </w:p>
    <w:p w14:paraId="00000008" w14:textId="77777777"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Term 2024-2029 Revenue, profit, dividends, and average income of next year are 5% higher than the previous year.</w:t>
      </w:r>
    </w:p>
    <w:p w14:paraId="00000009" w14:textId="77777777"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Request the company's Executive Board to enhance supervision over subordinate units to improve production efficiency, cost savings, efficient resource utilization, and optimize company resources, while minimizing the use of outsourced services. When market conditions are favorable, it is necessary to actively participate in bidding for projects to enhance production and business efficiency.</w:t>
      </w:r>
    </w:p>
    <w:p w14:paraId="0000000A" w14:textId="77777777" w:rsidR="00F34D48" w:rsidRDefault="003E28BC" w:rsidP="00643ED2">
      <w:pPr>
        <w:numPr>
          <w:ilvl w:val="0"/>
          <w:numId w:val="3"/>
        </w:numPr>
        <w:pBdr>
          <w:top w:val="nil"/>
          <w:left w:val="nil"/>
          <w:bottom w:val="nil"/>
          <w:right w:val="nil"/>
          <w:between w:val="nil"/>
        </w:pBdr>
        <w:tabs>
          <w:tab w:val="left" w:pos="432"/>
          <w:tab w:val="left" w:pos="1090"/>
        </w:tabs>
        <w:spacing w:after="120" w:line="360" w:lineRule="auto"/>
        <w:jc w:val="both"/>
        <w:rPr>
          <w:rFonts w:ascii="Arial" w:eastAsia="Arial" w:hAnsi="Arial" w:cs="Arial"/>
          <w:color w:val="010000"/>
          <w:sz w:val="20"/>
          <w:szCs w:val="20"/>
        </w:rPr>
      </w:pPr>
      <w:r>
        <w:rPr>
          <w:rFonts w:ascii="Arial" w:hAnsi="Arial"/>
          <w:color w:val="010000"/>
          <w:sz w:val="20"/>
        </w:rPr>
        <w:t xml:space="preserve">Approve the Report on directing and managing production and business activities 2023 and the term of 2019 to 2024 of the Board of Directors and approve the direction and tasks of the Board of Directors in 2024 and the term of 2024 to 2029. </w:t>
      </w:r>
    </w:p>
    <w:p w14:paraId="2987DFFC" w14:textId="77777777" w:rsidR="00411DA3" w:rsidRDefault="00411DA3" w:rsidP="00643ED2">
      <w:pPr>
        <w:pStyle w:val="ListParagraph"/>
        <w:pBdr>
          <w:top w:val="nil"/>
          <w:left w:val="nil"/>
          <w:bottom w:val="nil"/>
          <w:right w:val="nil"/>
          <w:between w:val="nil"/>
        </w:pBdr>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Business results in 2023:</w:t>
      </w:r>
    </w:p>
    <w:tbl>
      <w:tblPr>
        <w:tblStyle w:val="TableGrid"/>
        <w:tblW w:w="0" w:type="auto"/>
        <w:tblLook w:val="04A0" w:firstRow="1" w:lastRow="0" w:firstColumn="1" w:lastColumn="0" w:noHBand="0" w:noVBand="1"/>
      </w:tblPr>
      <w:tblGrid>
        <w:gridCol w:w="528"/>
        <w:gridCol w:w="2728"/>
        <w:gridCol w:w="1701"/>
        <w:gridCol w:w="1842"/>
        <w:gridCol w:w="2218"/>
      </w:tblGrid>
      <w:tr w:rsidR="00411DA3" w14:paraId="4164A8CA" w14:textId="77777777" w:rsidTr="00C61E52">
        <w:tc>
          <w:tcPr>
            <w:tcW w:w="528" w:type="dxa"/>
          </w:tcPr>
          <w:p w14:paraId="5CA87DD8"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No.</w:t>
            </w:r>
          </w:p>
        </w:tc>
        <w:tc>
          <w:tcPr>
            <w:tcW w:w="2728" w:type="dxa"/>
          </w:tcPr>
          <w:p w14:paraId="46F0A341"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Target</w:t>
            </w:r>
          </w:p>
        </w:tc>
        <w:tc>
          <w:tcPr>
            <w:tcW w:w="1701" w:type="dxa"/>
          </w:tcPr>
          <w:p w14:paraId="18B3E203"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Plan 2023</w:t>
            </w:r>
          </w:p>
        </w:tc>
        <w:tc>
          <w:tcPr>
            <w:tcW w:w="1842" w:type="dxa"/>
          </w:tcPr>
          <w:p w14:paraId="47F2480F"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Results 2023</w:t>
            </w:r>
          </w:p>
        </w:tc>
        <w:tc>
          <w:tcPr>
            <w:tcW w:w="2218" w:type="dxa"/>
          </w:tcPr>
          <w:p w14:paraId="34C33F6B"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Results 2023/Plan 2023</w:t>
            </w:r>
          </w:p>
        </w:tc>
      </w:tr>
      <w:tr w:rsidR="00411DA3" w14:paraId="19927B67" w14:textId="77777777" w:rsidTr="00C61E52">
        <w:tc>
          <w:tcPr>
            <w:tcW w:w="528" w:type="dxa"/>
          </w:tcPr>
          <w:p w14:paraId="4DAC1AB5"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1</w:t>
            </w:r>
          </w:p>
        </w:tc>
        <w:tc>
          <w:tcPr>
            <w:tcW w:w="2728" w:type="dxa"/>
          </w:tcPr>
          <w:p w14:paraId="5E897CFA"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Total revenue (Million VND)</w:t>
            </w:r>
          </w:p>
        </w:tc>
        <w:tc>
          <w:tcPr>
            <w:tcW w:w="1701" w:type="dxa"/>
          </w:tcPr>
          <w:p w14:paraId="5B8C59E3"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85,000</w:t>
            </w:r>
          </w:p>
        </w:tc>
        <w:tc>
          <w:tcPr>
            <w:tcW w:w="1842" w:type="dxa"/>
          </w:tcPr>
          <w:p w14:paraId="326135DA"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81,507</w:t>
            </w:r>
          </w:p>
        </w:tc>
        <w:tc>
          <w:tcPr>
            <w:tcW w:w="2218" w:type="dxa"/>
          </w:tcPr>
          <w:p w14:paraId="565BC49C"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95.9%</w:t>
            </w:r>
          </w:p>
        </w:tc>
      </w:tr>
      <w:tr w:rsidR="00411DA3" w14:paraId="24EA5D9B" w14:textId="77777777" w:rsidTr="00C61E52">
        <w:tc>
          <w:tcPr>
            <w:tcW w:w="528" w:type="dxa"/>
          </w:tcPr>
          <w:p w14:paraId="2394D305"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2</w:t>
            </w:r>
          </w:p>
        </w:tc>
        <w:tc>
          <w:tcPr>
            <w:tcW w:w="2728" w:type="dxa"/>
          </w:tcPr>
          <w:p w14:paraId="1F702DED"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Profit before tax (Million VND)</w:t>
            </w:r>
          </w:p>
        </w:tc>
        <w:tc>
          <w:tcPr>
            <w:tcW w:w="1701" w:type="dxa"/>
          </w:tcPr>
          <w:p w14:paraId="2D9E9F09"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2,200</w:t>
            </w:r>
          </w:p>
        </w:tc>
        <w:tc>
          <w:tcPr>
            <w:tcW w:w="1842" w:type="dxa"/>
          </w:tcPr>
          <w:p w14:paraId="3947F01D"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2,523.39</w:t>
            </w:r>
          </w:p>
        </w:tc>
        <w:tc>
          <w:tcPr>
            <w:tcW w:w="2218" w:type="dxa"/>
          </w:tcPr>
          <w:p w14:paraId="17D36C31"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114.7%</w:t>
            </w:r>
          </w:p>
        </w:tc>
      </w:tr>
      <w:tr w:rsidR="00411DA3" w14:paraId="02A867C0" w14:textId="77777777" w:rsidTr="00C61E52">
        <w:tc>
          <w:tcPr>
            <w:tcW w:w="528" w:type="dxa"/>
          </w:tcPr>
          <w:p w14:paraId="4E15D9ED"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3</w:t>
            </w:r>
          </w:p>
        </w:tc>
        <w:tc>
          <w:tcPr>
            <w:tcW w:w="2728" w:type="dxa"/>
          </w:tcPr>
          <w:p w14:paraId="3756320A"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Profit after tax (Million VND)</w:t>
            </w:r>
          </w:p>
        </w:tc>
        <w:tc>
          <w:tcPr>
            <w:tcW w:w="1701" w:type="dxa"/>
          </w:tcPr>
          <w:p w14:paraId="00CA746A"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1,760</w:t>
            </w:r>
          </w:p>
        </w:tc>
        <w:tc>
          <w:tcPr>
            <w:tcW w:w="1842" w:type="dxa"/>
          </w:tcPr>
          <w:p w14:paraId="71E0C49F"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1,825.67</w:t>
            </w:r>
          </w:p>
        </w:tc>
        <w:tc>
          <w:tcPr>
            <w:tcW w:w="2218" w:type="dxa"/>
          </w:tcPr>
          <w:p w14:paraId="56E3F7DB"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103.7%</w:t>
            </w:r>
          </w:p>
        </w:tc>
      </w:tr>
      <w:tr w:rsidR="00411DA3" w14:paraId="586F993C" w14:textId="77777777" w:rsidTr="00C61E52">
        <w:tc>
          <w:tcPr>
            <w:tcW w:w="528" w:type="dxa"/>
          </w:tcPr>
          <w:p w14:paraId="11A0E667"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4</w:t>
            </w:r>
          </w:p>
        </w:tc>
        <w:tc>
          <w:tcPr>
            <w:tcW w:w="2728" w:type="dxa"/>
          </w:tcPr>
          <w:p w14:paraId="64B3B2FE"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Dividends</w:t>
            </w:r>
          </w:p>
        </w:tc>
        <w:tc>
          <w:tcPr>
            <w:tcW w:w="1701" w:type="dxa"/>
          </w:tcPr>
          <w:p w14:paraId="5CE6A63E"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6.5%</w:t>
            </w:r>
          </w:p>
        </w:tc>
        <w:tc>
          <w:tcPr>
            <w:tcW w:w="1842" w:type="dxa"/>
          </w:tcPr>
          <w:p w14:paraId="17848EEA"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6.5%</w:t>
            </w:r>
          </w:p>
        </w:tc>
        <w:tc>
          <w:tcPr>
            <w:tcW w:w="2218" w:type="dxa"/>
          </w:tcPr>
          <w:p w14:paraId="536B5A2F" w14:textId="77777777" w:rsidR="00411DA3" w:rsidRDefault="00411DA3" w:rsidP="00643ED2">
            <w:pPr>
              <w:pStyle w:val="ListParagraph"/>
              <w:tabs>
                <w:tab w:val="left" w:pos="432"/>
                <w:tab w:val="left" w:pos="1090"/>
              </w:tabs>
              <w:spacing w:after="120" w:line="360" w:lineRule="auto"/>
              <w:ind w:left="0"/>
              <w:jc w:val="both"/>
              <w:rPr>
                <w:rFonts w:ascii="Arial" w:eastAsia="Arial" w:hAnsi="Arial" w:cs="Arial"/>
                <w:color w:val="010000"/>
                <w:sz w:val="20"/>
                <w:szCs w:val="20"/>
              </w:rPr>
            </w:pPr>
            <w:r>
              <w:rPr>
                <w:rFonts w:ascii="Arial" w:eastAsia="Arial" w:hAnsi="Arial" w:cs="Arial"/>
                <w:color w:val="010000"/>
                <w:sz w:val="20"/>
                <w:szCs w:val="20"/>
              </w:rPr>
              <w:t>100.0%</w:t>
            </w:r>
          </w:p>
        </w:tc>
      </w:tr>
    </w:tbl>
    <w:p w14:paraId="4C567CAC" w14:textId="77777777" w:rsidR="00411DA3" w:rsidRDefault="00411DA3" w:rsidP="00643ED2">
      <w:pPr>
        <w:jc w:val="both"/>
      </w:pPr>
    </w:p>
    <w:p w14:paraId="00000010" w14:textId="77777777" w:rsidR="00F34D48" w:rsidRDefault="003E28BC" w:rsidP="00643ED2">
      <w:pPr>
        <w:numPr>
          <w:ilvl w:val="0"/>
          <w:numId w:val="3"/>
        </w:numPr>
        <w:pBdr>
          <w:top w:val="nil"/>
          <w:left w:val="nil"/>
          <w:bottom w:val="nil"/>
          <w:right w:val="nil"/>
          <w:between w:val="nil"/>
        </w:pBdr>
        <w:tabs>
          <w:tab w:val="left" w:pos="432"/>
          <w:tab w:val="left" w:pos="1090"/>
        </w:tabs>
        <w:spacing w:after="120" w:line="360" w:lineRule="auto"/>
        <w:jc w:val="both"/>
        <w:rPr>
          <w:rFonts w:ascii="Arial" w:eastAsia="Arial" w:hAnsi="Arial" w:cs="Arial"/>
          <w:color w:val="010000"/>
          <w:sz w:val="20"/>
          <w:szCs w:val="20"/>
        </w:rPr>
      </w:pPr>
      <w:r>
        <w:rPr>
          <w:rFonts w:ascii="Arial" w:hAnsi="Arial"/>
          <w:color w:val="010000"/>
          <w:sz w:val="20"/>
        </w:rPr>
        <w:t xml:space="preserve">Agree to approve the Report of the Supervisory Board on the activities 2023 and the term of 2019-2024 and the directions and tasks of the Supervisory Board in 2024 and the term of 2024 to 2029. </w:t>
      </w:r>
    </w:p>
    <w:p w14:paraId="00000011" w14:textId="77777777" w:rsidR="00F34D48" w:rsidRDefault="003E28BC" w:rsidP="00643ED2">
      <w:pPr>
        <w:numPr>
          <w:ilvl w:val="0"/>
          <w:numId w:val="3"/>
        </w:numPr>
        <w:pBdr>
          <w:top w:val="nil"/>
          <w:left w:val="nil"/>
          <w:bottom w:val="nil"/>
          <w:right w:val="nil"/>
          <w:between w:val="nil"/>
        </w:pBdr>
        <w:tabs>
          <w:tab w:val="left" w:pos="432"/>
          <w:tab w:val="left" w:pos="1117"/>
        </w:tabs>
        <w:spacing w:after="120" w:line="360" w:lineRule="auto"/>
        <w:jc w:val="both"/>
        <w:rPr>
          <w:rFonts w:ascii="Arial" w:eastAsia="Arial" w:hAnsi="Arial" w:cs="Arial"/>
          <w:color w:val="010000"/>
          <w:sz w:val="20"/>
          <w:szCs w:val="20"/>
        </w:rPr>
      </w:pPr>
      <w:r>
        <w:rPr>
          <w:rFonts w:ascii="Arial" w:hAnsi="Arial"/>
          <w:color w:val="010000"/>
          <w:sz w:val="20"/>
        </w:rPr>
        <w:t xml:space="preserve">Approve the audited Financial Statements 2023: </w:t>
      </w:r>
    </w:p>
    <w:p w14:paraId="00000012" w14:textId="4C1B990F" w:rsidR="00F34D48" w:rsidRDefault="003E28BC" w:rsidP="00643ED2">
      <w:pPr>
        <w:numPr>
          <w:ilvl w:val="1"/>
          <w:numId w:val="3"/>
        </w:numPr>
        <w:pBdr>
          <w:top w:val="nil"/>
          <w:left w:val="nil"/>
          <w:bottom w:val="nil"/>
          <w:right w:val="nil"/>
          <w:between w:val="nil"/>
        </w:pBdr>
        <w:tabs>
          <w:tab w:val="left" w:pos="432"/>
          <w:tab w:val="left" w:pos="1221"/>
          <w:tab w:val="left" w:pos="7684"/>
        </w:tabs>
        <w:spacing w:after="120" w:line="360" w:lineRule="auto"/>
        <w:jc w:val="both"/>
        <w:rPr>
          <w:rFonts w:ascii="Arial" w:eastAsia="Arial" w:hAnsi="Arial" w:cs="Arial"/>
          <w:color w:val="010000"/>
          <w:sz w:val="20"/>
          <w:szCs w:val="20"/>
        </w:rPr>
      </w:pPr>
      <w:r>
        <w:rPr>
          <w:rFonts w:ascii="Arial" w:hAnsi="Arial"/>
          <w:color w:val="010000"/>
          <w:sz w:val="20"/>
        </w:rPr>
        <w:t>Revenue from sales and service provision</w:t>
      </w:r>
      <w:r w:rsidR="00411DA3">
        <w:rPr>
          <w:rFonts w:ascii="Arial" w:hAnsi="Arial"/>
          <w:color w:val="010000"/>
          <w:sz w:val="20"/>
        </w:rPr>
        <w:t>:</w:t>
      </w:r>
      <w:r>
        <w:rPr>
          <w:rFonts w:ascii="Arial" w:hAnsi="Arial"/>
          <w:color w:val="010000"/>
          <w:sz w:val="20"/>
        </w:rPr>
        <w:t xml:space="preserve"> VND80,747,978,301</w:t>
      </w:r>
    </w:p>
    <w:p w14:paraId="00000013" w14:textId="0617D614" w:rsidR="00F34D48" w:rsidRDefault="003E28BC" w:rsidP="00643ED2">
      <w:pPr>
        <w:numPr>
          <w:ilvl w:val="1"/>
          <w:numId w:val="3"/>
        </w:numPr>
        <w:pBdr>
          <w:top w:val="nil"/>
          <w:left w:val="nil"/>
          <w:bottom w:val="nil"/>
          <w:right w:val="nil"/>
          <w:between w:val="nil"/>
        </w:pBdr>
        <w:tabs>
          <w:tab w:val="left" w:pos="432"/>
          <w:tab w:val="left" w:pos="1254"/>
          <w:tab w:val="left" w:pos="7684"/>
        </w:tabs>
        <w:spacing w:after="120" w:line="360" w:lineRule="auto"/>
        <w:jc w:val="both"/>
        <w:rPr>
          <w:rFonts w:ascii="Arial" w:eastAsia="Arial" w:hAnsi="Arial" w:cs="Arial"/>
          <w:color w:val="010000"/>
          <w:sz w:val="20"/>
          <w:szCs w:val="20"/>
        </w:rPr>
      </w:pPr>
      <w:r>
        <w:rPr>
          <w:rFonts w:ascii="Arial" w:hAnsi="Arial"/>
          <w:color w:val="010000"/>
          <w:sz w:val="20"/>
        </w:rPr>
        <w:t>Profit before tax</w:t>
      </w:r>
      <w:r w:rsidR="00411DA3">
        <w:rPr>
          <w:rFonts w:ascii="Arial" w:hAnsi="Arial"/>
          <w:color w:val="010000"/>
          <w:sz w:val="20"/>
        </w:rPr>
        <w:t xml:space="preserve">: </w:t>
      </w:r>
      <w:r>
        <w:rPr>
          <w:rFonts w:ascii="Arial" w:hAnsi="Arial"/>
          <w:color w:val="010000"/>
          <w:sz w:val="20"/>
        </w:rPr>
        <w:t>VND</w:t>
      </w:r>
      <w:r w:rsidR="00411DA3">
        <w:rPr>
          <w:rFonts w:ascii="Arial" w:hAnsi="Arial"/>
          <w:color w:val="010000"/>
          <w:sz w:val="20"/>
        </w:rPr>
        <w:t>2</w:t>
      </w:r>
      <w:r>
        <w:rPr>
          <w:rFonts w:ascii="Arial" w:hAnsi="Arial"/>
          <w:color w:val="010000"/>
          <w:sz w:val="20"/>
        </w:rPr>
        <w:t>,523,386,765</w:t>
      </w:r>
    </w:p>
    <w:p w14:paraId="00000014" w14:textId="209FE85E" w:rsidR="00F34D48" w:rsidRDefault="003E28BC" w:rsidP="00643ED2">
      <w:pPr>
        <w:numPr>
          <w:ilvl w:val="1"/>
          <w:numId w:val="3"/>
        </w:numPr>
        <w:pBdr>
          <w:top w:val="nil"/>
          <w:left w:val="nil"/>
          <w:bottom w:val="nil"/>
          <w:right w:val="nil"/>
          <w:between w:val="nil"/>
        </w:pBdr>
        <w:tabs>
          <w:tab w:val="left" w:pos="432"/>
          <w:tab w:val="left" w:pos="1254"/>
          <w:tab w:val="left" w:pos="7684"/>
        </w:tabs>
        <w:spacing w:after="120" w:line="360" w:lineRule="auto"/>
        <w:jc w:val="both"/>
        <w:rPr>
          <w:rFonts w:ascii="Arial" w:eastAsia="Arial" w:hAnsi="Arial" w:cs="Arial"/>
          <w:color w:val="010000"/>
          <w:sz w:val="20"/>
          <w:szCs w:val="20"/>
        </w:rPr>
      </w:pPr>
      <w:r>
        <w:rPr>
          <w:rFonts w:ascii="Arial" w:hAnsi="Arial"/>
          <w:color w:val="010000"/>
          <w:sz w:val="20"/>
        </w:rPr>
        <w:t>Profit after tax</w:t>
      </w:r>
      <w:r w:rsidR="00411DA3">
        <w:rPr>
          <w:rFonts w:ascii="Arial" w:hAnsi="Arial"/>
          <w:color w:val="010000"/>
          <w:sz w:val="20"/>
        </w:rPr>
        <w:t xml:space="preserve">: </w:t>
      </w:r>
      <w:r>
        <w:rPr>
          <w:rFonts w:ascii="Arial" w:hAnsi="Arial"/>
          <w:color w:val="010000"/>
          <w:sz w:val="20"/>
        </w:rPr>
        <w:t>VND</w:t>
      </w:r>
      <w:r w:rsidR="00411DA3">
        <w:rPr>
          <w:rFonts w:ascii="Arial" w:hAnsi="Arial"/>
          <w:color w:val="010000"/>
          <w:sz w:val="20"/>
        </w:rPr>
        <w:t>1</w:t>
      </w:r>
      <w:r>
        <w:rPr>
          <w:rFonts w:ascii="Arial" w:hAnsi="Arial"/>
          <w:color w:val="010000"/>
          <w:sz w:val="20"/>
        </w:rPr>
        <w:t>,825,672,239</w:t>
      </w:r>
    </w:p>
    <w:p w14:paraId="00000015" w14:textId="40C1CDAA" w:rsidR="00F34D48" w:rsidRDefault="003E28BC" w:rsidP="00643ED2">
      <w:pPr>
        <w:numPr>
          <w:ilvl w:val="0"/>
          <w:numId w:val="3"/>
        </w:numPr>
        <w:pBdr>
          <w:top w:val="nil"/>
          <w:left w:val="nil"/>
          <w:bottom w:val="nil"/>
          <w:right w:val="nil"/>
          <w:between w:val="nil"/>
        </w:pBdr>
        <w:tabs>
          <w:tab w:val="left" w:pos="432"/>
          <w:tab w:val="left" w:pos="1097"/>
        </w:tabs>
        <w:spacing w:after="120" w:line="360" w:lineRule="auto"/>
        <w:jc w:val="both"/>
        <w:rPr>
          <w:rFonts w:ascii="Arial" w:eastAsia="Arial" w:hAnsi="Arial" w:cs="Arial"/>
          <w:color w:val="010000"/>
          <w:sz w:val="20"/>
          <w:szCs w:val="20"/>
        </w:rPr>
      </w:pPr>
      <w:r>
        <w:rPr>
          <w:rFonts w:ascii="Arial" w:hAnsi="Arial"/>
          <w:color w:val="010000"/>
          <w:sz w:val="20"/>
        </w:rPr>
        <w:t xml:space="preserve">Agree to approve the salary fund of Employees and </w:t>
      </w:r>
      <w:r w:rsidR="00411DA3">
        <w:rPr>
          <w:rFonts w:ascii="Arial" w:hAnsi="Arial"/>
          <w:color w:val="010000"/>
          <w:sz w:val="20"/>
        </w:rPr>
        <w:t>m</w:t>
      </w:r>
      <w:r>
        <w:rPr>
          <w:rFonts w:ascii="Arial" w:hAnsi="Arial"/>
          <w:color w:val="010000"/>
          <w:sz w:val="20"/>
        </w:rPr>
        <w:t>anagers 2023 and the Plan of salary fund 2024</w:t>
      </w:r>
    </w:p>
    <w:p w14:paraId="00000016" w14:textId="7F3A1B33"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The Executive Board of the Company is responsible for the accuracy in providing data related to salaries according to labor contracts of employees and managers and ensuring the compliance with current legal regulations.</w:t>
      </w:r>
    </w:p>
    <w:p w14:paraId="00000017" w14:textId="77777777" w:rsidR="00F34D48" w:rsidRDefault="003E28BC" w:rsidP="00643ED2">
      <w:pPr>
        <w:numPr>
          <w:ilvl w:val="0"/>
          <w:numId w:val="4"/>
        </w:numPr>
        <w:pBdr>
          <w:top w:val="nil"/>
          <w:left w:val="nil"/>
          <w:bottom w:val="nil"/>
          <w:right w:val="nil"/>
          <w:between w:val="nil"/>
        </w:pBdr>
        <w:tabs>
          <w:tab w:val="left" w:pos="432"/>
          <w:tab w:val="left" w:pos="1299"/>
        </w:tabs>
        <w:spacing w:after="120" w:line="360" w:lineRule="auto"/>
        <w:jc w:val="both"/>
        <w:rPr>
          <w:rFonts w:ascii="Arial" w:eastAsia="Arial" w:hAnsi="Arial" w:cs="Arial"/>
          <w:color w:val="010000"/>
          <w:sz w:val="20"/>
          <w:szCs w:val="20"/>
        </w:rPr>
      </w:pPr>
      <w:r>
        <w:rPr>
          <w:rFonts w:ascii="Arial" w:hAnsi="Arial"/>
          <w:color w:val="010000"/>
          <w:sz w:val="20"/>
        </w:rPr>
        <w:t>Employee salary fund in 2024: VND7,319,000,000</w:t>
      </w:r>
    </w:p>
    <w:p w14:paraId="00000018" w14:textId="77777777" w:rsidR="00F34D48" w:rsidRDefault="003E28BC" w:rsidP="00643ED2">
      <w:pPr>
        <w:numPr>
          <w:ilvl w:val="0"/>
          <w:numId w:val="4"/>
        </w:numPr>
        <w:pBdr>
          <w:top w:val="nil"/>
          <w:left w:val="nil"/>
          <w:bottom w:val="nil"/>
          <w:right w:val="nil"/>
          <w:between w:val="nil"/>
        </w:pBdr>
        <w:tabs>
          <w:tab w:val="left" w:pos="432"/>
          <w:tab w:val="left" w:pos="1300"/>
        </w:tabs>
        <w:spacing w:after="120" w:line="360" w:lineRule="auto"/>
        <w:jc w:val="both"/>
        <w:rPr>
          <w:rFonts w:ascii="Arial" w:eastAsia="Arial" w:hAnsi="Arial" w:cs="Arial"/>
          <w:color w:val="010000"/>
          <w:sz w:val="20"/>
          <w:szCs w:val="20"/>
        </w:rPr>
      </w:pPr>
      <w:r>
        <w:rPr>
          <w:rFonts w:ascii="Arial" w:hAnsi="Arial"/>
          <w:color w:val="010000"/>
          <w:sz w:val="20"/>
        </w:rPr>
        <w:t>Manager salary fund in 2024: VND1,028,000,000, in which:</w:t>
      </w:r>
    </w:p>
    <w:p w14:paraId="00000019" w14:textId="77777777" w:rsidR="00F34D48" w:rsidRDefault="003E28BC" w:rsidP="00643ED2">
      <w:pPr>
        <w:numPr>
          <w:ilvl w:val="0"/>
          <w:numId w:val="1"/>
        </w:numPr>
        <w:pBdr>
          <w:top w:val="nil"/>
          <w:left w:val="nil"/>
          <w:bottom w:val="nil"/>
          <w:right w:val="nil"/>
          <w:between w:val="nil"/>
        </w:pBdr>
        <w:tabs>
          <w:tab w:val="left" w:pos="432"/>
          <w:tab w:val="left" w:pos="985"/>
        </w:tabs>
        <w:spacing w:after="120" w:line="360" w:lineRule="auto"/>
        <w:jc w:val="both"/>
        <w:rPr>
          <w:rFonts w:ascii="Arial" w:eastAsia="Arial" w:hAnsi="Arial" w:cs="Arial"/>
          <w:color w:val="010000"/>
          <w:sz w:val="20"/>
          <w:szCs w:val="20"/>
        </w:rPr>
      </w:pPr>
      <w:r>
        <w:rPr>
          <w:rFonts w:ascii="Arial" w:hAnsi="Arial"/>
          <w:color w:val="010000"/>
          <w:sz w:val="20"/>
        </w:rPr>
        <w:t>Executive Manager is the representative of the state capital: VND278,760,000.</w:t>
      </w:r>
    </w:p>
    <w:p w14:paraId="0000001A" w14:textId="77777777" w:rsidR="00F34D48" w:rsidRDefault="003E28BC" w:rsidP="00643ED2">
      <w:pPr>
        <w:numPr>
          <w:ilvl w:val="0"/>
          <w:numId w:val="1"/>
        </w:numPr>
        <w:pBdr>
          <w:top w:val="nil"/>
          <w:left w:val="nil"/>
          <w:bottom w:val="nil"/>
          <w:right w:val="nil"/>
          <w:between w:val="nil"/>
        </w:pBdr>
        <w:tabs>
          <w:tab w:val="left" w:pos="432"/>
          <w:tab w:val="left" w:pos="979"/>
        </w:tabs>
        <w:spacing w:after="120" w:line="360" w:lineRule="auto"/>
        <w:jc w:val="both"/>
        <w:rPr>
          <w:rFonts w:ascii="Arial" w:eastAsia="Arial" w:hAnsi="Arial" w:cs="Arial"/>
          <w:color w:val="010000"/>
          <w:sz w:val="20"/>
          <w:szCs w:val="20"/>
        </w:rPr>
      </w:pPr>
      <w:r>
        <w:rPr>
          <w:rFonts w:ascii="Arial" w:hAnsi="Arial"/>
          <w:color w:val="010000"/>
          <w:sz w:val="20"/>
        </w:rPr>
        <w:t>Executive Manager is not the representative of the state capital: VND749,240,000.</w:t>
      </w:r>
    </w:p>
    <w:p w14:paraId="0000001B" w14:textId="77777777" w:rsidR="00F34D48" w:rsidRDefault="003E28BC" w:rsidP="00643ED2">
      <w:pPr>
        <w:numPr>
          <w:ilvl w:val="0"/>
          <w:numId w:val="3"/>
        </w:numPr>
        <w:pBdr>
          <w:top w:val="nil"/>
          <w:left w:val="nil"/>
          <w:bottom w:val="nil"/>
          <w:right w:val="nil"/>
          <w:between w:val="nil"/>
        </w:pBdr>
        <w:tabs>
          <w:tab w:val="left" w:pos="432"/>
          <w:tab w:val="left" w:pos="1117"/>
        </w:tabs>
        <w:spacing w:after="120" w:line="360" w:lineRule="auto"/>
        <w:jc w:val="both"/>
        <w:rPr>
          <w:rFonts w:ascii="Arial" w:eastAsia="Arial" w:hAnsi="Arial" w:cs="Arial"/>
          <w:color w:val="010000"/>
          <w:sz w:val="20"/>
          <w:szCs w:val="20"/>
        </w:rPr>
      </w:pPr>
      <w:r>
        <w:rPr>
          <w:rFonts w:ascii="Arial" w:hAnsi="Arial"/>
          <w:color w:val="010000"/>
          <w:sz w:val="20"/>
        </w:rPr>
        <w:t xml:space="preserve">Agree on the profit distribution and dividend payment plan 2023 as follows: </w:t>
      </w:r>
    </w:p>
    <w:p w14:paraId="0000001C" w14:textId="77777777" w:rsidR="00F34D48" w:rsidRDefault="003E28BC" w:rsidP="00643ED2">
      <w:pPr>
        <w:numPr>
          <w:ilvl w:val="0"/>
          <w:numId w:val="2"/>
        </w:numPr>
        <w:pBdr>
          <w:top w:val="nil"/>
          <w:left w:val="nil"/>
          <w:bottom w:val="nil"/>
          <w:right w:val="nil"/>
          <w:between w:val="nil"/>
        </w:pBdr>
        <w:tabs>
          <w:tab w:val="left" w:pos="432"/>
          <w:tab w:val="left" w:pos="1413"/>
          <w:tab w:val="left" w:pos="7684"/>
        </w:tabs>
        <w:spacing w:after="120" w:line="360" w:lineRule="auto"/>
        <w:jc w:val="both"/>
        <w:rPr>
          <w:rFonts w:ascii="Arial" w:eastAsia="Arial" w:hAnsi="Arial" w:cs="Arial"/>
          <w:color w:val="010000"/>
          <w:sz w:val="20"/>
          <w:szCs w:val="20"/>
        </w:rPr>
      </w:pPr>
      <w:r>
        <w:rPr>
          <w:rFonts w:ascii="Arial" w:hAnsi="Arial"/>
          <w:color w:val="010000"/>
          <w:sz w:val="20"/>
        </w:rPr>
        <w:t>Dividend payment to shareholders: 6.5% of charter capital 1,755,000,000</w:t>
      </w:r>
    </w:p>
    <w:p w14:paraId="0000001D" w14:textId="77777777" w:rsidR="00F34D48" w:rsidRDefault="003E28BC" w:rsidP="00643ED2">
      <w:pPr>
        <w:numPr>
          <w:ilvl w:val="0"/>
          <w:numId w:val="2"/>
        </w:numPr>
        <w:pBdr>
          <w:top w:val="nil"/>
          <w:left w:val="nil"/>
          <w:bottom w:val="nil"/>
          <w:right w:val="nil"/>
          <w:between w:val="nil"/>
        </w:pBdr>
        <w:tabs>
          <w:tab w:val="left" w:pos="432"/>
          <w:tab w:val="left" w:pos="560"/>
          <w:tab w:val="left" w:pos="7130"/>
        </w:tabs>
        <w:spacing w:after="120" w:line="360" w:lineRule="auto"/>
        <w:jc w:val="both"/>
        <w:rPr>
          <w:rFonts w:ascii="Arial" w:eastAsia="Arial" w:hAnsi="Arial" w:cs="Arial"/>
          <w:color w:val="010000"/>
          <w:sz w:val="20"/>
          <w:szCs w:val="20"/>
        </w:rPr>
      </w:pPr>
      <w:r>
        <w:rPr>
          <w:rFonts w:ascii="Arial" w:hAnsi="Arial"/>
          <w:color w:val="010000"/>
          <w:sz w:val="20"/>
        </w:rPr>
        <w:t>Appropriation for funds: 70,672,239</w:t>
      </w:r>
    </w:p>
    <w:p w14:paraId="0000001E" w14:textId="77777777" w:rsidR="00F34D48" w:rsidRDefault="003E28BC" w:rsidP="00643ED2">
      <w:pPr>
        <w:numPr>
          <w:ilvl w:val="0"/>
          <w:numId w:val="1"/>
        </w:numPr>
        <w:pBdr>
          <w:top w:val="nil"/>
          <w:left w:val="nil"/>
          <w:bottom w:val="nil"/>
          <w:right w:val="nil"/>
          <w:between w:val="nil"/>
        </w:pBdr>
        <w:tabs>
          <w:tab w:val="left" w:pos="272"/>
          <w:tab w:val="left" w:pos="432"/>
          <w:tab w:val="left" w:pos="7130"/>
        </w:tabs>
        <w:spacing w:after="120" w:line="360" w:lineRule="auto"/>
        <w:jc w:val="both"/>
        <w:rPr>
          <w:rFonts w:ascii="Arial" w:eastAsia="Arial" w:hAnsi="Arial" w:cs="Arial"/>
          <w:color w:val="010000"/>
          <w:sz w:val="20"/>
          <w:szCs w:val="20"/>
        </w:rPr>
      </w:pPr>
      <w:r>
        <w:rPr>
          <w:rFonts w:ascii="Arial" w:hAnsi="Arial"/>
          <w:color w:val="010000"/>
          <w:sz w:val="20"/>
        </w:rPr>
        <w:t>Bonus fund for manager:  20,000,000</w:t>
      </w:r>
    </w:p>
    <w:p w14:paraId="0000001F" w14:textId="77777777" w:rsidR="00F34D48" w:rsidRDefault="003E28BC" w:rsidP="00643ED2">
      <w:pPr>
        <w:numPr>
          <w:ilvl w:val="0"/>
          <w:numId w:val="1"/>
        </w:numPr>
        <w:pBdr>
          <w:top w:val="nil"/>
          <w:left w:val="nil"/>
          <w:bottom w:val="nil"/>
          <w:right w:val="nil"/>
          <w:between w:val="nil"/>
        </w:pBdr>
        <w:tabs>
          <w:tab w:val="left" w:pos="272"/>
          <w:tab w:val="left" w:pos="432"/>
          <w:tab w:val="left" w:pos="7130"/>
        </w:tabs>
        <w:spacing w:after="120" w:line="360" w:lineRule="auto"/>
        <w:jc w:val="both"/>
        <w:rPr>
          <w:rFonts w:ascii="Arial" w:eastAsia="Arial" w:hAnsi="Arial" w:cs="Arial"/>
          <w:color w:val="010000"/>
          <w:sz w:val="20"/>
          <w:szCs w:val="20"/>
        </w:rPr>
      </w:pPr>
      <w:r>
        <w:rPr>
          <w:rFonts w:ascii="Arial" w:hAnsi="Arial"/>
          <w:color w:val="010000"/>
          <w:sz w:val="20"/>
        </w:rPr>
        <w:t>Bonus fund for the employees 50,672,239</w:t>
      </w:r>
    </w:p>
    <w:p w14:paraId="00000020" w14:textId="77777777" w:rsidR="00F34D48" w:rsidRDefault="003E28BC" w:rsidP="00643ED2">
      <w:pPr>
        <w:numPr>
          <w:ilvl w:val="0"/>
          <w:numId w:val="3"/>
        </w:numPr>
        <w:pBdr>
          <w:top w:val="nil"/>
          <w:left w:val="nil"/>
          <w:bottom w:val="nil"/>
          <w:right w:val="nil"/>
          <w:between w:val="nil"/>
        </w:pBdr>
        <w:tabs>
          <w:tab w:val="left" w:pos="432"/>
          <w:tab w:val="left" w:pos="1097"/>
        </w:tabs>
        <w:spacing w:after="120" w:line="360" w:lineRule="auto"/>
        <w:jc w:val="both"/>
        <w:rPr>
          <w:rFonts w:ascii="Arial" w:eastAsia="Arial" w:hAnsi="Arial" w:cs="Arial"/>
          <w:color w:val="010000"/>
          <w:sz w:val="20"/>
          <w:szCs w:val="20"/>
        </w:rPr>
      </w:pPr>
      <w:r>
        <w:rPr>
          <w:rFonts w:ascii="Arial" w:hAnsi="Arial"/>
          <w:color w:val="010000"/>
          <w:sz w:val="20"/>
        </w:rPr>
        <w:t>Agree to approve the proposal on remuneration for the Board of Directors and Supervisory Board 2023 and estimate the remuneration level for 2024.</w:t>
      </w:r>
    </w:p>
    <w:p w14:paraId="00000021" w14:textId="3148DBC6" w:rsidR="00F34D48" w:rsidRDefault="003E28BC" w:rsidP="00643ED2">
      <w:pPr>
        <w:numPr>
          <w:ilvl w:val="0"/>
          <w:numId w:val="3"/>
        </w:numPr>
        <w:pBdr>
          <w:top w:val="nil"/>
          <w:left w:val="nil"/>
          <w:bottom w:val="nil"/>
          <w:right w:val="nil"/>
          <w:between w:val="nil"/>
        </w:pBdr>
        <w:tabs>
          <w:tab w:val="left" w:pos="432"/>
          <w:tab w:val="left" w:pos="1084"/>
        </w:tabs>
        <w:spacing w:after="120" w:line="360" w:lineRule="auto"/>
        <w:jc w:val="both"/>
        <w:rPr>
          <w:rFonts w:ascii="Arial" w:eastAsia="Arial" w:hAnsi="Arial" w:cs="Arial"/>
          <w:color w:val="010000"/>
          <w:sz w:val="20"/>
          <w:szCs w:val="20"/>
        </w:rPr>
      </w:pPr>
      <w:r>
        <w:rPr>
          <w:rFonts w:ascii="Arial" w:hAnsi="Arial"/>
          <w:color w:val="010000"/>
          <w:sz w:val="20"/>
        </w:rPr>
        <w:t xml:space="preserve">Agree to approve on selecting an audit company for the Financial Statements 2024. </w:t>
      </w:r>
    </w:p>
    <w:p w14:paraId="00000022" w14:textId="77777777" w:rsidR="00F34D48" w:rsidRDefault="003E28BC" w:rsidP="00643ED2">
      <w:pPr>
        <w:numPr>
          <w:ilvl w:val="0"/>
          <w:numId w:val="3"/>
        </w:numPr>
        <w:pBdr>
          <w:top w:val="nil"/>
          <w:left w:val="nil"/>
          <w:bottom w:val="nil"/>
          <w:right w:val="nil"/>
          <w:between w:val="nil"/>
        </w:pBdr>
        <w:tabs>
          <w:tab w:val="left" w:pos="432"/>
          <w:tab w:val="left" w:pos="1084"/>
        </w:tabs>
        <w:spacing w:after="120" w:line="360" w:lineRule="auto"/>
        <w:jc w:val="both"/>
        <w:rPr>
          <w:rFonts w:ascii="Arial" w:eastAsia="Arial" w:hAnsi="Arial" w:cs="Arial"/>
          <w:color w:val="010000"/>
          <w:sz w:val="20"/>
          <w:szCs w:val="20"/>
        </w:rPr>
      </w:pPr>
      <w:r>
        <w:rPr>
          <w:rFonts w:ascii="Arial" w:hAnsi="Arial"/>
          <w:color w:val="010000"/>
          <w:sz w:val="20"/>
        </w:rPr>
        <w:t xml:space="preserve">Agree to amend the Company's Charter and the Operational Regulations of the Board of Directors. </w:t>
      </w:r>
    </w:p>
    <w:p w14:paraId="00000023" w14:textId="77777777" w:rsidR="00F34D48" w:rsidRDefault="003E28BC" w:rsidP="00643ED2">
      <w:pPr>
        <w:numPr>
          <w:ilvl w:val="0"/>
          <w:numId w:val="3"/>
        </w:numPr>
        <w:pBdr>
          <w:top w:val="nil"/>
          <w:left w:val="nil"/>
          <w:bottom w:val="nil"/>
          <w:right w:val="nil"/>
          <w:between w:val="nil"/>
        </w:pBdr>
        <w:tabs>
          <w:tab w:val="left" w:pos="432"/>
          <w:tab w:val="left" w:pos="1208"/>
        </w:tabs>
        <w:spacing w:after="120" w:line="360" w:lineRule="auto"/>
        <w:jc w:val="both"/>
        <w:rPr>
          <w:rFonts w:ascii="Arial" w:eastAsia="Arial" w:hAnsi="Arial" w:cs="Arial"/>
          <w:color w:val="010000"/>
          <w:sz w:val="20"/>
          <w:szCs w:val="20"/>
        </w:rPr>
      </w:pPr>
      <w:r>
        <w:rPr>
          <w:rFonts w:ascii="Arial" w:hAnsi="Arial"/>
          <w:color w:val="010000"/>
          <w:sz w:val="20"/>
        </w:rPr>
        <w:t>Agree on the personnel plan for the Board of Directors and Supervisory Board for the 2024-2029 term.</w:t>
      </w:r>
    </w:p>
    <w:p w14:paraId="00000024" w14:textId="77777777" w:rsidR="00F34D48" w:rsidRDefault="003E28BC" w:rsidP="00643ED2">
      <w:pPr>
        <w:numPr>
          <w:ilvl w:val="0"/>
          <w:numId w:val="3"/>
        </w:numPr>
        <w:pBdr>
          <w:top w:val="nil"/>
          <w:left w:val="nil"/>
          <w:bottom w:val="nil"/>
          <w:right w:val="nil"/>
          <w:between w:val="nil"/>
        </w:pBdr>
        <w:tabs>
          <w:tab w:val="left" w:pos="432"/>
          <w:tab w:val="left" w:pos="1208"/>
        </w:tabs>
        <w:spacing w:after="120" w:line="360" w:lineRule="auto"/>
        <w:jc w:val="both"/>
        <w:rPr>
          <w:rFonts w:ascii="Arial" w:eastAsia="Arial" w:hAnsi="Arial" w:cs="Arial"/>
          <w:color w:val="010000"/>
          <w:sz w:val="20"/>
          <w:szCs w:val="20"/>
        </w:rPr>
      </w:pPr>
      <w:r>
        <w:rPr>
          <w:rFonts w:ascii="Arial" w:hAnsi="Arial"/>
          <w:color w:val="010000"/>
          <w:sz w:val="20"/>
        </w:rPr>
        <w:t>The list of elected members of the Board of Directors for the 2024-2029 term is as follows:</w:t>
      </w:r>
    </w:p>
    <w:p w14:paraId="00000025" w14:textId="77777777" w:rsidR="00F34D48" w:rsidRDefault="003E28BC" w:rsidP="00643ED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Pham Ngoc Tien</w:t>
      </w:r>
    </w:p>
    <w:p w14:paraId="00000026" w14:textId="77777777" w:rsidR="00F34D48" w:rsidRDefault="003E28BC" w:rsidP="00643ED2">
      <w:pPr>
        <w:numPr>
          <w:ilvl w:val="0"/>
          <w:numId w:val="1"/>
        </w:numPr>
        <w:pBdr>
          <w:top w:val="nil"/>
          <w:left w:val="nil"/>
          <w:bottom w:val="nil"/>
          <w:right w:val="nil"/>
          <w:between w:val="nil"/>
        </w:pBdr>
        <w:tabs>
          <w:tab w:val="left" w:pos="432"/>
          <w:tab w:val="left" w:pos="1032"/>
        </w:tabs>
        <w:spacing w:after="120" w:line="360" w:lineRule="auto"/>
        <w:jc w:val="both"/>
        <w:rPr>
          <w:rFonts w:ascii="Arial" w:eastAsia="Arial" w:hAnsi="Arial" w:cs="Arial"/>
          <w:color w:val="010000"/>
          <w:sz w:val="20"/>
          <w:szCs w:val="20"/>
        </w:rPr>
      </w:pPr>
      <w:r>
        <w:rPr>
          <w:rFonts w:ascii="Arial" w:hAnsi="Arial"/>
          <w:color w:val="010000"/>
          <w:sz w:val="20"/>
        </w:rPr>
        <w:t>Mr. Nguyen Tuan Anh</w:t>
      </w:r>
    </w:p>
    <w:p w14:paraId="00000027" w14:textId="77777777" w:rsidR="00F34D48" w:rsidRDefault="003E28BC" w:rsidP="00643ED2">
      <w:pPr>
        <w:numPr>
          <w:ilvl w:val="0"/>
          <w:numId w:val="1"/>
        </w:numPr>
        <w:pBdr>
          <w:top w:val="nil"/>
          <w:left w:val="nil"/>
          <w:bottom w:val="nil"/>
          <w:right w:val="nil"/>
          <w:between w:val="nil"/>
        </w:pBdr>
        <w:tabs>
          <w:tab w:val="left" w:pos="432"/>
          <w:tab w:val="left" w:pos="1032"/>
        </w:tabs>
        <w:spacing w:after="120" w:line="360" w:lineRule="auto"/>
        <w:jc w:val="both"/>
        <w:rPr>
          <w:rFonts w:ascii="Arial" w:eastAsia="Arial" w:hAnsi="Arial" w:cs="Arial"/>
          <w:color w:val="010000"/>
          <w:sz w:val="20"/>
          <w:szCs w:val="20"/>
        </w:rPr>
      </w:pPr>
      <w:r>
        <w:rPr>
          <w:rFonts w:ascii="Arial" w:hAnsi="Arial"/>
          <w:color w:val="010000"/>
          <w:sz w:val="20"/>
        </w:rPr>
        <w:t xml:space="preserve">Mr. Nguyen Duc </w:t>
      </w:r>
      <w:proofErr w:type="spellStart"/>
      <w:r>
        <w:rPr>
          <w:rFonts w:ascii="Arial" w:hAnsi="Arial"/>
          <w:color w:val="010000"/>
          <w:sz w:val="20"/>
        </w:rPr>
        <w:t>Hieu</w:t>
      </w:r>
      <w:proofErr w:type="spellEnd"/>
      <w:r>
        <w:rPr>
          <w:rFonts w:ascii="Arial" w:hAnsi="Arial"/>
          <w:color w:val="010000"/>
          <w:sz w:val="20"/>
        </w:rPr>
        <w:t>.</w:t>
      </w:r>
    </w:p>
    <w:p w14:paraId="00000028" w14:textId="77777777" w:rsidR="00F34D48" w:rsidRDefault="003E28BC" w:rsidP="00643ED2">
      <w:pPr>
        <w:numPr>
          <w:ilvl w:val="0"/>
          <w:numId w:val="1"/>
        </w:numPr>
        <w:pBdr>
          <w:top w:val="nil"/>
          <w:left w:val="nil"/>
          <w:bottom w:val="nil"/>
          <w:right w:val="nil"/>
          <w:between w:val="nil"/>
        </w:pBdr>
        <w:tabs>
          <w:tab w:val="left" w:pos="432"/>
          <w:tab w:val="left" w:pos="1032"/>
        </w:tabs>
        <w:spacing w:after="120" w:line="360" w:lineRule="auto"/>
        <w:jc w:val="both"/>
        <w:rPr>
          <w:rFonts w:ascii="Arial" w:eastAsia="Arial" w:hAnsi="Arial" w:cs="Arial"/>
          <w:color w:val="010000"/>
          <w:sz w:val="20"/>
          <w:szCs w:val="20"/>
        </w:rPr>
      </w:pPr>
      <w:r>
        <w:rPr>
          <w:rFonts w:ascii="Arial" w:hAnsi="Arial"/>
          <w:color w:val="010000"/>
          <w:sz w:val="20"/>
        </w:rPr>
        <w:t>Mr. Nguyen Van Sy.</w:t>
      </w:r>
    </w:p>
    <w:p w14:paraId="00000029" w14:textId="77777777" w:rsidR="00F34D48" w:rsidRDefault="003E28BC" w:rsidP="00643ED2">
      <w:pPr>
        <w:numPr>
          <w:ilvl w:val="0"/>
          <w:numId w:val="1"/>
        </w:numPr>
        <w:pBdr>
          <w:top w:val="nil"/>
          <w:left w:val="nil"/>
          <w:bottom w:val="nil"/>
          <w:right w:val="nil"/>
          <w:between w:val="nil"/>
        </w:pBdr>
        <w:tabs>
          <w:tab w:val="left" w:pos="432"/>
          <w:tab w:val="left" w:pos="1032"/>
        </w:tabs>
        <w:spacing w:after="120" w:line="360" w:lineRule="auto"/>
        <w:jc w:val="both"/>
        <w:rPr>
          <w:rFonts w:ascii="Arial" w:eastAsia="Arial" w:hAnsi="Arial" w:cs="Arial"/>
          <w:color w:val="010000"/>
          <w:sz w:val="20"/>
          <w:szCs w:val="20"/>
        </w:rPr>
      </w:pPr>
      <w:r>
        <w:rPr>
          <w:rFonts w:ascii="Arial" w:hAnsi="Arial"/>
          <w:color w:val="010000"/>
          <w:sz w:val="20"/>
        </w:rPr>
        <w:t>Mr. Le Van Xi</w:t>
      </w:r>
    </w:p>
    <w:p w14:paraId="0000002A" w14:textId="77777777" w:rsidR="00F34D48" w:rsidRDefault="003E28BC" w:rsidP="00643ED2">
      <w:pPr>
        <w:numPr>
          <w:ilvl w:val="0"/>
          <w:numId w:val="3"/>
        </w:numPr>
        <w:pBdr>
          <w:top w:val="nil"/>
          <w:left w:val="nil"/>
          <w:bottom w:val="nil"/>
          <w:right w:val="nil"/>
          <w:between w:val="nil"/>
        </w:pBdr>
        <w:tabs>
          <w:tab w:val="left" w:pos="432"/>
          <w:tab w:val="left" w:pos="1222"/>
        </w:tabs>
        <w:spacing w:after="120" w:line="360" w:lineRule="auto"/>
        <w:jc w:val="both"/>
        <w:rPr>
          <w:rFonts w:ascii="Arial" w:eastAsia="Arial" w:hAnsi="Arial" w:cs="Arial"/>
          <w:color w:val="010000"/>
          <w:sz w:val="20"/>
          <w:szCs w:val="20"/>
        </w:rPr>
      </w:pPr>
      <w:r>
        <w:rPr>
          <w:rFonts w:ascii="Arial" w:hAnsi="Arial"/>
          <w:color w:val="010000"/>
          <w:sz w:val="20"/>
        </w:rPr>
        <w:t>The list of elected members of the Supervisory Board for the 2024-2029 term is as follows:</w:t>
      </w:r>
    </w:p>
    <w:p w14:paraId="0000002B" w14:textId="77777777" w:rsidR="00F34D48" w:rsidRDefault="003E28BC" w:rsidP="00643ED2">
      <w:pPr>
        <w:numPr>
          <w:ilvl w:val="0"/>
          <w:numId w:val="1"/>
        </w:numPr>
        <w:pBdr>
          <w:top w:val="nil"/>
          <w:left w:val="nil"/>
          <w:bottom w:val="nil"/>
          <w:right w:val="nil"/>
          <w:between w:val="nil"/>
        </w:pBdr>
        <w:tabs>
          <w:tab w:val="left" w:pos="432"/>
          <w:tab w:val="left" w:pos="1032"/>
        </w:tabs>
        <w:spacing w:after="120" w:line="360" w:lineRule="auto"/>
        <w:jc w:val="both"/>
        <w:rPr>
          <w:rFonts w:ascii="Arial" w:eastAsia="Arial" w:hAnsi="Arial" w:cs="Arial"/>
          <w:color w:val="010000"/>
          <w:sz w:val="20"/>
          <w:szCs w:val="20"/>
        </w:rPr>
      </w:pPr>
      <w:r>
        <w:rPr>
          <w:rFonts w:ascii="Arial" w:hAnsi="Arial"/>
          <w:color w:val="010000"/>
          <w:sz w:val="20"/>
        </w:rPr>
        <w:t>Mr. Le Ngoc Hung.</w:t>
      </w:r>
    </w:p>
    <w:p w14:paraId="0000002C" w14:textId="77777777" w:rsidR="00F34D48" w:rsidRDefault="003E28BC" w:rsidP="00643ED2">
      <w:pPr>
        <w:numPr>
          <w:ilvl w:val="0"/>
          <w:numId w:val="1"/>
        </w:numPr>
        <w:pBdr>
          <w:top w:val="nil"/>
          <w:left w:val="nil"/>
          <w:bottom w:val="nil"/>
          <w:right w:val="nil"/>
          <w:between w:val="nil"/>
        </w:pBdr>
        <w:tabs>
          <w:tab w:val="left" w:pos="432"/>
          <w:tab w:val="left" w:pos="1032"/>
        </w:tabs>
        <w:spacing w:after="120" w:line="360" w:lineRule="auto"/>
        <w:jc w:val="both"/>
        <w:rPr>
          <w:rFonts w:ascii="Arial" w:eastAsia="Arial" w:hAnsi="Arial" w:cs="Arial"/>
          <w:color w:val="010000"/>
          <w:sz w:val="20"/>
          <w:szCs w:val="20"/>
        </w:rPr>
      </w:pPr>
      <w:r>
        <w:rPr>
          <w:rFonts w:ascii="Arial" w:hAnsi="Arial"/>
          <w:color w:val="010000"/>
          <w:sz w:val="20"/>
        </w:rPr>
        <w:t>Mr. Doan Van Dung.</w:t>
      </w:r>
    </w:p>
    <w:p w14:paraId="0000002D" w14:textId="77777777" w:rsidR="00F34D48" w:rsidRDefault="003E28BC" w:rsidP="00643ED2">
      <w:pPr>
        <w:numPr>
          <w:ilvl w:val="0"/>
          <w:numId w:val="1"/>
        </w:numPr>
        <w:pBdr>
          <w:top w:val="nil"/>
          <w:left w:val="nil"/>
          <w:bottom w:val="nil"/>
          <w:right w:val="nil"/>
          <w:between w:val="nil"/>
        </w:pBdr>
        <w:tabs>
          <w:tab w:val="left" w:pos="432"/>
          <w:tab w:val="left" w:pos="1032"/>
        </w:tabs>
        <w:spacing w:after="120" w:line="360" w:lineRule="auto"/>
        <w:jc w:val="both"/>
        <w:rPr>
          <w:rFonts w:ascii="Arial" w:eastAsia="Arial" w:hAnsi="Arial" w:cs="Arial"/>
          <w:color w:val="010000"/>
          <w:sz w:val="20"/>
          <w:szCs w:val="20"/>
        </w:rPr>
      </w:pPr>
      <w:r>
        <w:rPr>
          <w:rFonts w:ascii="Arial" w:hAnsi="Arial"/>
          <w:color w:val="010000"/>
          <w:sz w:val="20"/>
        </w:rPr>
        <w:t>Ms. Nguyen Thi Ngoc Le</w:t>
      </w:r>
    </w:p>
    <w:p w14:paraId="0000002E" w14:textId="77777777" w:rsidR="00F34D48" w:rsidRDefault="003E28BC" w:rsidP="00643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Meeting approved the Annual General Mandate 2024 as a basis for the Board of Directors, Board of Management and the Supervisors Board to organize and implement the above contents.</w:t>
      </w:r>
    </w:p>
    <w:sectPr w:rsidR="00F34D48">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5BD1"/>
    <w:multiLevelType w:val="multilevel"/>
    <w:tmpl w:val="6C44E8A6"/>
    <w:lvl w:ilvl="0">
      <w:start w:val="1"/>
      <w:numFmt w:val="decimal"/>
      <w:lvlText w:val="6.%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D9753C6"/>
    <w:multiLevelType w:val="multilevel"/>
    <w:tmpl w:val="26C6FFF0"/>
    <w:lvl w:ilvl="0">
      <w:start w:val="1"/>
      <w:numFmt w:val="decimal"/>
      <w:lvlText w:val="5.%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36C36E7"/>
    <w:multiLevelType w:val="hybridMultilevel"/>
    <w:tmpl w:val="E4FC30D2"/>
    <w:lvl w:ilvl="0" w:tplc="EAF08DAE">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1128C"/>
    <w:multiLevelType w:val="multilevel"/>
    <w:tmpl w:val="4C3AA4A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F63721E"/>
    <w:multiLevelType w:val="multilevel"/>
    <w:tmpl w:val="8B12B1B6"/>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48"/>
    <w:rsid w:val="003E28BC"/>
    <w:rsid w:val="00411DA3"/>
    <w:rsid w:val="00643ED2"/>
    <w:rsid w:val="00F3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D3C3"/>
  <w15:docId w15:val="{DE0F9EFE-D790-4D63-9EE2-57612DAF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1"/>
      <w:szCs w:val="11"/>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974454"/>
      <w:sz w:val="15"/>
      <w:szCs w:val="15"/>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pPr>
      <w:spacing w:line="233" w:lineRule="auto"/>
      <w:ind w:left="-860"/>
    </w:pPr>
    <w:rPr>
      <w:rFonts w:ascii="Times New Roman" w:eastAsia="Times New Roman" w:hAnsi="Times New Roman" w:cs="Times New Roman"/>
      <w:color w:val="FF0000"/>
      <w:sz w:val="11"/>
      <w:szCs w:val="11"/>
    </w:rPr>
  </w:style>
  <w:style w:type="paragraph" w:customStyle="1" w:styleId="Vnbnnidung30">
    <w:name w:val="Văn bản nội dung (3)"/>
    <w:basedOn w:val="Normal"/>
    <w:link w:val="Vnbnnidung3"/>
    <w:pPr>
      <w:spacing w:line="338" w:lineRule="auto"/>
    </w:pPr>
    <w:rPr>
      <w:rFonts w:ascii="Arial" w:eastAsia="Arial" w:hAnsi="Arial" w:cs="Arial"/>
      <w:b/>
      <w:bCs/>
      <w:color w:val="974454"/>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11DA3"/>
    <w:pPr>
      <w:ind w:left="720"/>
      <w:contextualSpacing/>
    </w:pPr>
  </w:style>
  <w:style w:type="table" w:styleId="TableGrid">
    <w:name w:val="Table Grid"/>
    <w:basedOn w:val="TableNormal"/>
    <w:uiPriority w:val="39"/>
    <w:rsid w:val="004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trTQGRcq+TiMBQMGY0IzRekaw==">CgMxLjA4AHIhMVlOaVcwdWowcjEyQ1NMX1lWLVlqR1dXbmpoLV9TbDJ6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2024-07-01T04:54:00Z</dcterms:created>
  <dcterms:modified xsi:type="dcterms:W3CDTF">2024-07-03T11:14:00Z</dcterms:modified>
</cp:coreProperties>
</file>