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70C66"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Pr>
          <w:rFonts w:ascii="Arial" w:hAnsi="Arial"/>
          <w:b/>
          <w:color w:val="010000"/>
          <w:sz w:val="20"/>
        </w:rPr>
        <w:t>SDU: Annual General Mandate 2024</w:t>
      </w:r>
    </w:p>
    <w:p w14:paraId="72639DFC"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On June 27, 2024, Song Da Urban Investment Construction and Development Joint Stock Company announced General Mandate No. 10/NQ-DHDCD as follows:</w:t>
      </w:r>
    </w:p>
    <w:p w14:paraId="72B0D357"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1. The General Meeting of Shareholders voted on the production and business results report 2023 and the production and business plan 2024 of the Company with the following main contents:</w:t>
      </w:r>
    </w:p>
    <w:p w14:paraId="04A8A81F" w14:textId="77777777" w:rsidR="00CB6D2B" w:rsidRDefault="00C52A5E" w:rsidP="003026AC">
      <w:pPr>
        <w:numPr>
          <w:ilvl w:val="1"/>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Production and business results in 2023:</w:t>
      </w:r>
    </w:p>
    <w:p w14:paraId="554655F2" w14:textId="77777777" w:rsidR="00CB6D2B" w:rsidRDefault="00C52A5E" w:rsidP="003026AC">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value of production, business an</w:t>
      </w:r>
      <w:bookmarkStart w:id="0" w:name="_GoBack"/>
      <w:bookmarkEnd w:id="0"/>
      <w:r>
        <w:rPr>
          <w:rFonts w:ascii="Arial" w:hAnsi="Arial"/>
          <w:color w:val="010000"/>
          <w:sz w:val="20"/>
        </w:rPr>
        <w:t>d investment: VND130.242 billion;</w:t>
      </w:r>
    </w:p>
    <w:p w14:paraId="065C16F5" w14:textId="77777777" w:rsidR="00CB6D2B" w:rsidRDefault="00C52A5E" w:rsidP="003026AC">
      <w:pPr>
        <w:numPr>
          <w:ilvl w:val="0"/>
          <w:numId w:val="3"/>
        </w:numPr>
        <w:pBdr>
          <w:top w:val="nil"/>
          <w:left w:val="nil"/>
          <w:bottom w:val="nil"/>
          <w:right w:val="nil"/>
          <w:between w:val="nil"/>
        </w:pBdr>
        <w:tabs>
          <w:tab w:val="left" w:pos="567"/>
          <w:tab w:val="left" w:pos="6333"/>
        </w:tabs>
        <w:spacing w:after="120" w:line="360" w:lineRule="auto"/>
        <w:ind w:left="0" w:firstLine="0"/>
        <w:jc w:val="both"/>
        <w:rPr>
          <w:rFonts w:ascii="Arial" w:eastAsia="Arial" w:hAnsi="Arial" w:cs="Arial"/>
          <w:color w:val="010000"/>
          <w:sz w:val="20"/>
          <w:szCs w:val="20"/>
        </w:rPr>
      </w:pPr>
      <w:r>
        <w:rPr>
          <w:rFonts w:ascii="Arial" w:hAnsi="Arial"/>
          <w:color w:val="010000"/>
          <w:sz w:val="20"/>
        </w:rPr>
        <w:t>Revenue: VND71.203 billion;</w:t>
      </w:r>
    </w:p>
    <w:p w14:paraId="15E97A04" w14:textId="77777777" w:rsidR="00CB6D2B" w:rsidRDefault="00C52A5E" w:rsidP="003026AC">
      <w:pPr>
        <w:numPr>
          <w:ilvl w:val="0"/>
          <w:numId w:val="3"/>
        </w:numPr>
        <w:pBdr>
          <w:top w:val="nil"/>
          <w:left w:val="nil"/>
          <w:bottom w:val="nil"/>
          <w:right w:val="nil"/>
          <w:between w:val="nil"/>
        </w:pBdr>
        <w:tabs>
          <w:tab w:val="left" w:pos="567"/>
          <w:tab w:val="left" w:pos="6333"/>
        </w:tabs>
        <w:spacing w:after="120" w:line="360" w:lineRule="auto"/>
        <w:ind w:left="0" w:firstLine="0"/>
        <w:jc w:val="both"/>
        <w:rPr>
          <w:rFonts w:ascii="Arial" w:eastAsia="Arial" w:hAnsi="Arial" w:cs="Arial"/>
          <w:color w:val="010000"/>
          <w:sz w:val="20"/>
          <w:szCs w:val="20"/>
        </w:rPr>
      </w:pPr>
      <w:r>
        <w:rPr>
          <w:rFonts w:ascii="Arial" w:hAnsi="Arial"/>
          <w:color w:val="010000"/>
          <w:sz w:val="20"/>
        </w:rPr>
        <w:t>Payable to the state budget VND13.445 billion;</w:t>
      </w:r>
    </w:p>
    <w:p w14:paraId="38FAAA18" w14:textId="77777777" w:rsidR="00CB6D2B" w:rsidRDefault="00C52A5E" w:rsidP="003026AC">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w:t>
      </w:r>
    </w:p>
    <w:p w14:paraId="035C2EDE" w14:textId="77777777" w:rsidR="00CB6D2B" w:rsidRDefault="00C52A5E" w:rsidP="003026AC">
      <w:pPr>
        <w:numPr>
          <w:ilvl w:val="0"/>
          <w:numId w:val="2"/>
        </w:numPr>
        <w:pBdr>
          <w:top w:val="nil"/>
          <w:left w:val="nil"/>
          <w:bottom w:val="nil"/>
          <w:right w:val="nil"/>
          <w:between w:val="nil"/>
        </w:pBdr>
        <w:tabs>
          <w:tab w:val="left" w:pos="567"/>
          <w:tab w:val="left" w:pos="6333"/>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VND5.461 billion</w:t>
      </w:r>
    </w:p>
    <w:p w14:paraId="027EAD74" w14:textId="77777777" w:rsidR="00CB6D2B" w:rsidRDefault="00C52A5E" w:rsidP="003026AC">
      <w:pPr>
        <w:numPr>
          <w:ilvl w:val="0"/>
          <w:numId w:val="2"/>
        </w:numPr>
        <w:pBdr>
          <w:top w:val="nil"/>
          <w:left w:val="nil"/>
          <w:bottom w:val="nil"/>
          <w:right w:val="nil"/>
          <w:between w:val="nil"/>
        </w:pBdr>
        <w:tabs>
          <w:tab w:val="left" w:pos="567"/>
          <w:tab w:val="left" w:pos="6333"/>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VND1.275 billion</w:t>
      </w:r>
    </w:p>
    <w:p w14:paraId="50D0F476"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Business and production task orientation in 2024:</w:t>
      </w:r>
    </w:p>
    <w:p w14:paraId="7B3F2AFB" w14:textId="77777777" w:rsidR="00CB6D2B" w:rsidRDefault="00C52A5E" w:rsidP="003026AC">
      <w:pPr>
        <w:numPr>
          <w:ilvl w:val="0"/>
          <w:numId w:val="6"/>
        </w:numPr>
        <w:pBdr>
          <w:top w:val="nil"/>
          <w:left w:val="nil"/>
          <w:bottom w:val="nil"/>
          <w:right w:val="nil"/>
          <w:between w:val="nil"/>
        </w:pBdr>
        <w:tabs>
          <w:tab w:val="left" w:pos="567"/>
          <w:tab w:val="left" w:pos="2348"/>
        </w:tabs>
        <w:spacing w:after="120" w:line="360" w:lineRule="auto"/>
        <w:jc w:val="both"/>
        <w:rPr>
          <w:rFonts w:ascii="Arial" w:eastAsia="Arial" w:hAnsi="Arial" w:cs="Arial"/>
          <w:color w:val="010000"/>
          <w:sz w:val="20"/>
          <w:szCs w:val="20"/>
        </w:rPr>
      </w:pPr>
      <w:r>
        <w:rPr>
          <w:rFonts w:ascii="Arial" w:hAnsi="Arial"/>
          <w:color w:val="010000"/>
          <w:sz w:val="20"/>
        </w:rPr>
        <w:t>Total value of production, business and investment: VND164.193 billion;</w:t>
      </w:r>
    </w:p>
    <w:p w14:paraId="4160E767" w14:textId="77777777" w:rsidR="00CB6D2B" w:rsidRDefault="00C52A5E" w:rsidP="003026AC">
      <w:pPr>
        <w:numPr>
          <w:ilvl w:val="0"/>
          <w:numId w:val="6"/>
        </w:numPr>
        <w:pBdr>
          <w:top w:val="nil"/>
          <w:left w:val="nil"/>
          <w:bottom w:val="nil"/>
          <w:right w:val="nil"/>
          <w:between w:val="nil"/>
        </w:pBdr>
        <w:tabs>
          <w:tab w:val="left" w:pos="567"/>
          <w:tab w:val="left" w:pos="2348"/>
        </w:tabs>
        <w:spacing w:after="120" w:line="360" w:lineRule="auto"/>
        <w:jc w:val="both"/>
        <w:rPr>
          <w:rFonts w:ascii="Arial" w:eastAsia="Arial" w:hAnsi="Arial" w:cs="Arial"/>
          <w:color w:val="010000"/>
          <w:sz w:val="20"/>
          <w:szCs w:val="20"/>
        </w:rPr>
      </w:pPr>
      <w:r>
        <w:rPr>
          <w:rFonts w:ascii="Arial" w:hAnsi="Arial"/>
          <w:color w:val="010000"/>
          <w:sz w:val="20"/>
        </w:rPr>
        <w:t>Revenue: VND92.286 billion;</w:t>
      </w:r>
    </w:p>
    <w:p w14:paraId="3D9A3CF3" w14:textId="77777777" w:rsidR="00CB6D2B" w:rsidRDefault="00C52A5E" w:rsidP="003026AC">
      <w:pPr>
        <w:numPr>
          <w:ilvl w:val="0"/>
          <w:numId w:val="6"/>
        </w:numPr>
        <w:pBdr>
          <w:top w:val="nil"/>
          <w:left w:val="nil"/>
          <w:bottom w:val="nil"/>
          <w:right w:val="nil"/>
          <w:between w:val="nil"/>
        </w:pBdr>
        <w:tabs>
          <w:tab w:val="left" w:pos="567"/>
          <w:tab w:val="left" w:pos="2348"/>
        </w:tabs>
        <w:spacing w:after="120" w:line="360" w:lineRule="auto"/>
        <w:jc w:val="both"/>
        <w:rPr>
          <w:rFonts w:ascii="Arial" w:eastAsia="Arial" w:hAnsi="Arial" w:cs="Arial"/>
          <w:color w:val="010000"/>
          <w:sz w:val="20"/>
          <w:szCs w:val="20"/>
        </w:rPr>
      </w:pPr>
      <w:r>
        <w:rPr>
          <w:rFonts w:ascii="Arial" w:hAnsi="Arial"/>
          <w:color w:val="010000"/>
          <w:sz w:val="20"/>
        </w:rPr>
        <w:t>Payable to the state budget VND5 billion;</w:t>
      </w:r>
    </w:p>
    <w:p w14:paraId="61210AA5" w14:textId="77777777" w:rsidR="00CB6D2B" w:rsidRDefault="00C52A5E" w:rsidP="003026AC">
      <w:pPr>
        <w:numPr>
          <w:ilvl w:val="0"/>
          <w:numId w:val="6"/>
        </w:numPr>
        <w:pBdr>
          <w:top w:val="nil"/>
          <w:left w:val="nil"/>
          <w:bottom w:val="nil"/>
          <w:right w:val="nil"/>
          <w:between w:val="nil"/>
        </w:pBdr>
        <w:tabs>
          <w:tab w:val="left" w:pos="567"/>
          <w:tab w:val="left" w:pos="2348"/>
        </w:tabs>
        <w:spacing w:after="120" w:line="360" w:lineRule="auto"/>
        <w:jc w:val="both"/>
        <w:rPr>
          <w:rFonts w:ascii="Arial" w:eastAsia="Arial" w:hAnsi="Arial" w:cs="Arial"/>
          <w:color w:val="010000"/>
          <w:sz w:val="20"/>
          <w:szCs w:val="20"/>
        </w:rPr>
      </w:pPr>
      <w:r>
        <w:rPr>
          <w:rFonts w:ascii="Arial" w:hAnsi="Arial"/>
          <w:color w:val="010000"/>
          <w:sz w:val="20"/>
        </w:rPr>
        <w:t xml:space="preserve">Profit: </w:t>
      </w:r>
    </w:p>
    <w:p w14:paraId="4BA24A03" w14:textId="77777777" w:rsidR="00CB6D2B" w:rsidRDefault="00C52A5E" w:rsidP="003026AC">
      <w:pPr>
        <w:pBdr>
          <w:top w:val="nil"/>
          <w:left w:val="nil"/>
          <w:bottom w:val="nil"/>
          <w:right w:val="nil"/>
          <w:between w:val="nil"/>
        </w:pBdr>
        <w:tabs>
          <w:tab w:val="left" w:pos="567"/>
          <w:tab w:val="left" w:pos="2348"/>
        </w:tabs>
        <w:spacing w:after="120" w:line="360" w:lineRule="auto"/>
        <w:jc w:val="both"/>
        <w:rPr>
          <w:rFonts w:ascii="Arial" w:eastAsia="Arial" w:hAnsi="Arial" w:cs="Arial"/>
          <w:color w:val="010000"/>
          <w:sz w:val="20"/>
          <w:szCs w:val="20"/>
        </w:rPr>
      </w:pPr>
      <w:r>
        <w:rPr>
          <w:rFonts w:ascii="Arial" w:hAnsi="Arial"/>
          <w:color w:val="010000"/>
          <w:sz w:val="20"/>
        </w:rPr>
        <w:t>Profit before tax: VND5 billion;</w:t>
      </w:r>
    </w:p>
    <w:p w14:paraId="2BFE2869" w14:textId="77777777" w:rsidR="00CB6D2B" w:rsidRDefault="00C52A5E" w:rsidP="003026AC">
      <w:pPr>
        <w:pBdr>
          <w:top w:val="nil"/>
          <w:left w:val="nil"/>
          <w:bottom w:val="nil"/>
          <w:right w:val="nil"/>
          <w:between w:val="nil"/>
        </w:pBdr>
        <w:tabs>
          <w:tab w:val="left" w:pos="567"/>
          <w:tab w:val="left" w:pos="2348"/>
        </w:tabs>
        <w:spacing w:after="120" w:line="360" w:lineRule="auto"/>
        <w:jc w:val="both"/>
        <w:rPr>
          <w:rFonts w:ascii="Arial" w:eastAsia="Arial" w:hAnsi="Arial" w:cs="Arial"/>
          <w:color w:val="010000"/>
          <w:sz w:val="20"/>
          <w:szCs w:val="20"/>
        </w:rPr>
      </w:pPr>
      <w:r>
        <w:rPr>
          <w:rFonts w:ascii="Arial" w:hAnsi="Arial"/>
          <w:color w:val="010000"/>
          <w:sz w:val="20"/>
        </w:rPr>
        <w:t>Profit after tax: VND1.5 billion</w:t>
      </w:r>
    </w:p>
    <w:p w14:paraId="50611D62" w14:textId="1E7B91B5"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2. The General Meeting of Shareholders voted on the Financial Statements 2023 audited by A&amp;C Auditing and Consulting Company Limited.</w:t>
      </w:r>
    </w:p>
    <w:p w14:paraId="38B11F41" w14:textId="77777777" w:rsidR="00CB6D2B" w:rsidRDefault="00C52A5E" w:rsidP="003026AC">
      <w:pPr>
        <w:numPr>
          <w:ilvl w:val="0"/>
          <w:numId w:val="4"/>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Pr>
          <w:rFonts w:ascii="Arial" w:hAnsi="Arial"/>
          <w:color w:val="010000"/>
          <w:sz w:val="20"/>
        </w:rPr>
        <w:t>Total assets: VND1,206,337,861,620</w:t>
      </w:r>
    </w:p>
    <w:p w14:paraId="7E08D49B" w14:textId="77777777" w:rsidR="00CB6D2B" w:rsidRDefault="00C52A5E" w:rsidP="003026AC">
      <w:pPr>
        <w:numPr>
          <w:ilvl w:val="0"/>
          <w:numId w:val="5"/>
        </w:numPr>
        <w:pBdr>
          <w:top w:val="nil"/>
          <w:left w:val="nil"/>
          <w:bottom w:val="nil"/>
          <w:right w:val="nil"/>
          <w:between w:val="nil"/>
        </w:pBdr>
        <w:tabs>
          <w:tab w:val="left" w:pos="567"/>
          <w:tab w:val="left" w:pos="840"/>
        </w:tabs>
        <w:spacing w:after="120" w:line="360" w:lineRule="auto"/>
        <w:jc w:val="both"/>
        <w:rPr>
          <w:rFonts w:ascii="Arial" w:eastAsia="Arial" w:hAnsi="Arial" w:cs="Arial"/>
          <w:color w:val="010000"/>
          <w:sz w:val="20"/>
          <w:szCs w:val="20"/>
        </w:rPr>
      </w:pPr>
      <w:r>
        <w:rPr>
          <w:rFonts w:ascii="Arial" w:hAnsi="Arial"/>
          <w:color w:val="010000"/>
          <w:sz w:val="20"/>
        </w:rPr>
        <w:t>Short-term assets: VND983,519,974,884, accounting for 81.52%</w:t>
      </w:r>
    </w:p>
    <w:p w14:paraId="33D12FE7" w14:textId="77777777" w:rsidR="00CB6D2B" w:rsidRDefault="00C52A5E" w:rsidP="003026AC">
      <w:pPr>
        <w:numPr>
          <w:ilvl w:val="0"/>
          <w:numId w:val="5"/>
        </w:numPr>
        <w:pBdr>
          <w:top w:val="nil"/>
          <w:left w:val="nil"/>
          <w:bottom w:val="nil"/>
          <w:right w:val="nil"/>
          <w:between w:val="nil"/>
        </w:pBdr>
        <w:tabs>
          <w:tab w:val="left" w:pos="567"/>
          <w:tab w:val="left" w:pos="835"/>
        </w:tabs>
        <w:spacing w:after="120" w:line="360" w:lineRule="auto"/>
        <w:jc w:val="both"/>
        <w:rPr>
          <w:rFonts w:ascii="Arial" w:eastAsia="Arial" w:hAnsi="Arial" w:cs="Arial"/>
          <w:color w:val="010000"/>
          <w:sz w:val="20"/>
          <w:szCs w:val="20"/>
        </w:rPr>
      </w:pPr>
      <w:r>
        <w:rPr>
          <w:rFonts w:ascii="Arial" w:hAnsi="Arial"/>
          <w:color w:val="010000"/>
          <w:sz w:val="20"/>
        </w:rPr>
        <w:t>Long-term assets: VND222,817,886,776, accounting for 18.48%</w:t>
      </w:r>
    </w:p>
    <w:p w14:paraId="7B27727A" w14:textId="77777777" w:rsidR="00CB6D2B" w:rsidRDefault="00C52A5E" w:rsidP="003026AC">
      <w:pPr>
        <w:numPr>
          <w:ilvl w:val="0"/>
          <w:numId w:val="4"/>
        </w:numPr>
        <w:pBdr>
          <w:top w:val="nil"/>
          <w:left w:val="nil"/>
          <w:bottom w:val="nil"/>
          <w:right w:val="nil"/>
          <w:between w:val="nil"/>
        </w:pBdr>
        <w:tabs>
          <w:tab w:val="left" w:pos="420"/>
          <w:tab w:val="left" w:pos="567"/>
        </w:tabs>
        <w:spacing w:after="120" w:line="360" w:lineRule="auto"/>
        <w:jc w:val="both"/>
        <w:rPr>
          <w:rFonts w:ascii="Arial" w:eastAsia="Arial" w:hAnsi="Arial" w:cs="Arial"/>
          <w:color w:val="010000"/>
          <w:sz w:val="20"/>
          <w:szCs w:val="20"/>
        </w:rPr>
      </w:pPr>
      <w:r>
        <w:rPr>
          <w:rFonts w:ascii="Arial" w:hAnsi="Arial"/>
          <w:color w:val="010000"/>
          <w:sz w:val="20"/>
        </w:rPr>
        <w:t>Total source of capital VND1,206,337,861,620</w:t>
      </w:r>
    </w:p>
    <w:p w14:paraId="335FB00D" w14:textId="77777777" w:rsidR="00CB6D2B" w:rsidRDefault="00C52A5E" w:rsidP="003026AC">
      <w:pPr>
        <w:numPr>
          <w:ilvl w:val="0"/>
          <w:numId w:val="5"/>
        </w:numPr>
        <w:pBdr>
          <w:top w:val="nil"/>
          <w:left w:val="nil"/>
          <w:bottom w:val="nil"/>
          <w:right w:val="nil"/>
          <w:between w:val="nil"/>
        </w:pBdr>
        <w:tabs>
          <w:tab w:val="left" w:pos="567"/>
          <w:tab w:val="left" w:pos="835"/>
        </w:tabs>
        <w:spacing w:after="120" w:line="360" w:lineRule="auto"/>
        <w:jc w:val="both"/>
        <w:rPr>
          <w:rFonts w:ascii="Arial" w:eastAsia="Arial" w:hAnsi="Arial" w:cs="Arial"/>
          <w:color w:val="010000"/>
          <w:sz w:val="20"/>
          <w:szCs w:val="20"/>
        </w:rPr>
      </w:pPr>
      <w:r>
        <w:rPr>
          <w:rFonts w:ascii="Arial" w:hAnsi="Arial"/>
          <w:color w:val="010000"/>
          <w:sz w:val="20"/>
        </w:rPr>
        <w:t>Payables: VND850,712,251,889, accounting for 70.52%</w:t>
      </w:r>
    </w:p>
    <w:p w14:paraId="78F1B4C4" w14:textId="77777777" w:rsidR="00CB6D2B" w:rsidRDefault="00C52A5E" w:rsidP="003026AC">
      <w:pPr>
        <w:numPr>
          <w:ilvl w:val="0"/>
          <w:numId w:val="5"/>
        </w:numPr>
        <w:pBdr>
          <w:top w:val="nil"/>
          <w:left w:val="nil"/>
          <w:bottom w:val="nil"/>
          <w:right w:val="nil"/>
          <w:between w:val="nil"/>
        </w:pBdr>
        <w:tabs>
          <w:tab w:val="left" w:pos="567"/>
          <w:tab w:val="left" w:pos="840"/>
        </w:tabs>
        <w:spacing w:after="120" w:line="360" w:lineRule="auto"/>
        <w:jc w:val="both"/>
        <w:rPr>
          <w:rFonts w:ascii="Arial" w:eastAsia="Arial" w:hAnsi="Arial" w:cs="Arial"/>
          <w:color w:val="010000"/>
          <w:sz w:val="20"/>
          <w:szCs w:val="20"/>
        </w:rPr>
      </w:pPr>
      <w:r>
        <w:rPr>
          <w:rFonts w:ascii="Arial" w:hAnsi="Arial"/>
          <w:color w:val="010000"/>
          <w:sz w:val="20"/>
        </w:rPr>
        <w:t>Owners’ equity VND355,625,609,731, accounting for 29.48%</w:t>
      </w:r>
    </w:p>
    <w:p w14:paraId="6BB0BF6F"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3. The General Meeting of Shareholders voted on the profit distribution plan for 2023</w:t>
      </w:r>
    </w:p>
    <w:tbl>
      <w:tblPr>
        <w:tblStyle w:val="a"/>
        <w:tblW w:w="9027" w:type="dxa"/>
        <w:tblLayout w:type="fixed"/>
        <w:tblLook w:val="0000" w:firstRow="0" w:lastRow="0" w:firstColumn="0" w:lastColumn="0" w:noHBand="0" w:noVBand="0"/>
      </w:tblPr>
      <w:tblGrid>
        <w:gridCol w:w="6063"/>
        <w:gridCol w:w="2964"/>
      </w:tblGrid>
      <w:tr w:rsidR="00CB6D2B" w14:paraId="25C5659D" w14:textId="77777777" w:rsidTr="00C52A5E">
        <w:tc>
          <w:tcPr>
            <w:tcW w:w="6063" w:type="dxa"/>
            <w:shd w:val="clear" w:color="auto" w:fill="auto"/>
            <w:tcMar>
              <w:top w:w="0" w:type="dxa"/>
              <w:bottom w:w="0" w:type="dxa"/>
            </w:tcMar>
            <w:vAlign w:val="center"/>
          </w:tcPr>
          <w:p w14:paraId="76ACE574"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1 Profit made before tax in 2023</w:t>
            </w:r>
          </w:p>
        </w:tc>
        <w:tc>
          <w:tcPr>
            <w:tcW w:w="2964" w:type="dxa"/>
            <w:shd w:val="clear" w:color="auto" w:fill="auto"/>
            <w:tcMar>
              <w:top w:w="0" w:type="dxa"/>
              <w:bottom w:w="0" w:type="dxa"/>
            </w:tcMar>
            <w:vAlign w:val="center"/>
          </w:tcPr>
          <w:p w14:paraId="61EB9524"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VND5,461,178,147</w:t>
            </w:r>
          </w:p>
        </w:tc>
      </w:tr>
      <w:tr w:rsidR="00CB6D2B" w14:paraId="53508299" w14:textId="77777777">
        <w:tc>
          <w:tcPr>
            <w:tcW w:w="6063" w:type="dxa"/>
            <w:shd w:val="clear" w:color="auto" w:fill="auto"/>
            <w:tcMar>
              <w:top w:w="0" w:type="dxa"/>
              <w:bottom w:w="0" w:type="dxa"/>
            </w:tcMar>
            <w:vAlign w:val="center"/>
          </w:tcPr>
          <w:p w14:paraId="20D80237"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2 Current corporate income tax expenses</w:t>
            </w:r>
          </w:p>
        </w:tc>
        <w:tc>
          <w:tcPr>
            <w:tcW w:w="2964" w:type="dxa"/>
            <w:shd w:val="clear" w:color="auto" w:fill="auto"/>
            <w:tcMar>
              <w:top w:w="0" w:type="dxa"/>
              <w:bottom w:w="0" w:type="dxa"/>
            </w:tcMar>
            <w:vAlign w:val="center"/>
          </w:tcPr>
          <w:p w14:paraId="19D9CB14"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VND 4,186,561,137</w:t>
            </w:r>
          </w:p>
        </w:tc>
      </w:tr>
      <w:tr w:rsidR="00CB6D2B" w14:paraId="5D4861EF" w14:textId="77777777">
        <w:tc>
          <w:tcPr>
            <w:tcW w:w="6063" w:type="dxa"/>
            <w:shd w:val="clear" w:color="auto" w:fill="auto"/>
            <w:tcMar>
              <w:top w:w="0" w:type="dxa"/>
              <w:bottom w:w="0" w:type="dxa"/>
            </w:tcMar>
            <w:vAlign w:val="center"/>
          </w:tcPr>
          <w:p w14:paraId="52AF1A99"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lastRenderedPageBreak/>
              <w:t>3 Profit in 2023 after corporate income tax</w:t>
            </w:r>
          </w:p>
        </w:tc>
        <w:tc>
          <w:tcPr>
            <w:tcW w:w="2964" w:type="dxa"/>
            <w:shd w:val="clear" w:color="auto" w:fill="auto"/>
            <w:tcMar>
              <w:top w:w="0" w:type="dxa"/>
              <w:bottom w:w="0" w:type="dxa"/>
            </w:tcMar>
            <w:vAlign w:val="center"/>
          </w:tcPr>
          <w:p w14:paraId="229C3274"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VND1,274,617,010</w:t>
            </w:r>
          </w:p>
        </w:tc>
      </w:tr>
      <w:tr w:rsidR="00CB6D2B" w14:paraId="580B668D" w14:textId="77777777">
        <w:tc>
          <w:tcPr>
            <w:tcW w:w="6063" w:type="dxa"/>
            <w:shd w:val="clear" w:color="auto" w:fill="auto"/>
            <w:tcMar>
              <w:top w:w="0" w:type="dxa"/>
              <w:bottom w:w="0" w:type="dxa"/>
            </w:tcMar>
            <w:vAlign w:val="center"/>
          </w:tcPr>
          <w:p w14:paraId="3CE1E6D7" w14:textId="52345582"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4 Retained profits</w:t>
            </w:r>
          </w:p>
        </w:tc>
        <w:tc>
          <w:tcPr>
            <w:tcW w:w="2964" w:type="dxa"/>
            <w:shd w:val="clear" w:color="auto" w:fill="auto"/>
            <w:tcMar>
              <w:top w:w="0" w:type="dxa"/>
              <w:bottom w:w="0" w:type="dxa"/>
            </w:tcMar>
            <w:vAlign w:val="center"/>
          </w:tcPr>
          <w:p w14:paraId="416197DA"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VND1,274,617,010</w:t>
            </w:r>
          </w:p>
        </w:tc>
      </w:tr>
    </w:tbl>
    <w:p w14:paraId="486A1FB1"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‎‎Article 4. The General Meeting of Shareholders voted on the remuneration payment report of the Board of Directors/Supervisory Board 2023 and the payment plan 2024 </w:t>
      </w:r>
    </w:p>
    <w:p w14:paraId="2A4E956E"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5. The General Meeting of Shareholders voted to select A&amp;C Auditing and Consulting Company Limited as an audit company qualified to audit listed companies to audit the Financial Statements 2024 of the Company.</w:t>
      </w:r>
    </w:p>
    <w:p w14:paraId="23C7656B"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‎‎Article 6. The General Meeting of Shareholders voted on the full text of the Report on the Board of Directors' activities in 2023 and the Board of Directors' operational Plan in 2024 </w:t>
      </w:r>
    </w:p>
    <w:p w14:paraId="338A8626"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‎‎Article 7. The General Meeting of Shareholders voted on the full text of the Report on the activities of the Supervisory Board in 2023 and the operational plan of the Supervisory Board in 2024. </w:t>
      </w:r>
    </w:p>
    <w:p w14:paraId="64493632" w14:textId="666721EE"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8. The General Meeting of Shareholders voted to approve Mr. Hoang Van Anh - Chair of the Board of Directors of the Company to continue buying SDU shares to own up to 70% of the Company's charter capital.</w:t>
      </w:r>
    </w:p>
    <w:p w14:paraId="67B1068F"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‎‎Article 9. The General Meeting of Shareholders voted to authorize the Board of Directors to approve investment projects, credit contracts, construction activities, and other contracts with a value of &gt; 35% of the value of total assets recorded on the most recent Financial Statements.</w:t>
      </w:r>
    </w:p>
    <w:p w14:paraId="0D559975"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olor w:val="010000"/>
          <w:sz w:val="20"/>
        </w:rPr>
        <w:t xml:space="preserve">‎‎Article 10. This General Mandate was made and approved at the Annual General Meeting of Shareholders of Song </w:t>
      </w:r>
      <w:proofErr w:type="gramStart"/>
      <w:r>
        <w:rPr>
          <w:rFonts w:ascii="Arial" w:hAnsi="Arial"/>
          <w:color w:val="010000"/>
          <w:sz w:val="20"/>
        </w:rPr>
        <w:t>Da</w:t>
      </w:r>
      <w:proofErr w:type="gramEnd"/>
      <w:r>
        <w:rPr>
          <w:rFonts w:ascii="Arial" w:hAnsi="Arial"/>
          <w:color w:val="010000"/>
          <w:sz w:val="20"/>
        </w:rPr>
        <w:t xml:space="preserve"> Urban Investment Construction and Development Joint Stock Company in 2024.</w:t>
      </w:r>
    </w:p>
    <w:p w14:paraId="27ECDA7F" w14:textId="77777777" w:rsidR="00CB6D2B" w:rsidRDefault="00C52A5E" w:rsidP="003026AC">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11. Members of the Board of Directors, the Supervisory Board; the General Manager, Deputy General Managers, the Manager of subsidiaries; Representatives of the Company's capital at joint ventures, chiefs of the Company's functional departments, relevant units, and individuals pursuant to the General Mandate to implement.</w:t>
      </w:r>
    </w:p>
    <w:sectPr w:rsidR="00CB6D2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464"/>
    <w:multiLevelType w:val="multilevel"/>
    <w:tmpl w:val="1F5EE518"/>
    <w:lvl w:ilvl="0">
      <w:numFmt w:val="bullet"/>
      <w:lvlText w:val="*"/>
      <w:lvlJc w:val="left"/>
      <w:pPr>
        <w:ind w:left="808" w:hanging="360"/>
      </w:pPr>
      <w:rPr>
        <w:rFonts w:ascii="Arial" w:eastAsia="Arial" w:hAnsi="Arial" w:cs="Arial"/>
        <w:b w:val="0"/>
        <w:i w:val="0"/>
        <w:sz w:val="20"/>
        <w:szCs w:val="20"/>
        <w:u w:val="none"/>
      </w:rPr>
    </w:lvl>
    <w:lvl w:ilvl="1">
      <w:start w:val="1"/>
      <w:numFmt w:val="bullet"/>
      <w:lvlText w:val="o"/>
      <w:lvlJc w:val="left"/>
      <w:pPr>
        <w:ind w:left="1528" w:hanging="360"/>
      </w:pPr>
      <w:rPr>
        <w:rFonts w:ascii="Arial" w:eastAsia="Arial" w:hAnsi="Arial" w:cs="Arial"/>
        <w:b w:val="0"/>
        <w:i w:val="0"/>
        <w:sz w:val="20"/>
        <w:szCs w:val="20"/>
      </w:rPr>
    </w:lvl>
    <w:lvl w:ilvl="2">
      <w:start w:val="1"/>
      <w:numFmt w:val="bullet"/>
      <w:lvlText w:val=""/>
      <w:lvlJc w:val="left"/>
      <w:pPr>
        <w:ind w:left="2248" w:hanging="360"/>
      </w:pPr>
      <w:rPr>
        <w:rFonts w:ascii="Arial" w:eastAsia="Arial" w:hAnsi="Arial" w:cs="Arial"/>
        <w:b w:val="0"/>
        <w:i w:val="0"/>
        <w:sz w:val="20"/>
        <w:szCs w:val="20"/>
      </w:rPr>
    </w:lvl>
    <w:lvl w:ilvl="3">
      <w:start w:val="1"/>
      <w:numFmt w:val="bullet"/>
      <w:lvlText w:val="●"/>
      <w:lvlJc w:val="left"/>
      <w:pPr>
        <w:ind w:left="2968" w:hanging="360"/>
      </w:pPr>
      <w:rPr>
        <w:rFonts w:ascii="Noto Sans Symbols" w:eastAsia="Noto Sans Symbols" w:hAnsi="Noto Sans Symbols" w:cs="Noto Sans Symbols"/>
      </w:rPr>
    </w:lvl>
    <w:lvl w:ilvl="4">
      <w:start w:val="1"/>
      <w:numFmt w:val="bullet"/>
      <w:lvlText w:val="o"/>
      <w:lvlJc w:val="left"/>
      <w:pPr>
        <w:ind w:left="3688" w:hanging="360"/>
      </w:pPr>
      <w:rPr>
        <w:rFonts w:ascii="Courier New" w:eastAsia="Courier New" w:hAnsi="Courier New" w:cs="Courier New"/>
      </w:rPr>
    </w:lvl>
    <w:lvl w:ilvl="5">
      <w:start w:val="1"/>
      <w:numFmt w:val="bullet"/>
      <w:lvlText w:val="▪"/>
      <w:lvlJc w:val="left"/>
      <w:pPr>
        <w:ind w:left="4408" w:hanging="360"/>
      </w:pPr>
      <w:rPr>
        <w:rFonts w:ascii="Noto Sans Symbols" w:eastAsia="Noto Sans Symbols" w:hAnsi="Noto Sans Symbols" w:cs="Noto Sans Symbols"/>
      </w:rPr>
    </w:lvl>
    <w:lvl w:ilvl="6">
      <w:start w:val="1"/>
      <w:numFmt w:val="bullet"/>
      <w:lvlText w:val="●"/>
      <w:lvlJc w:val="left"/>
      <w:pPr>
        <w:ind w:left="5128" w:hanging="360"/>
      </w:pPr>
      <w:rPr>
        <w:rFonts w:ascii="Noto Sans Symbols" w:eastAsia="Noto Sans Symbols" w:hAnsi="Noto Sans Symbols" w:cs="Noto Sans Symbols"/>
      </w:rPr>
    </w:lvl>
    <w:lvl w:ilvl="7">
      <w:start w:val="1"/>
      <w:numFmt w:val="bullet"/>
      <w:lvlText w:val="o"/>
      <w:lvlJc w:val="left"/>
      <w:pPr>
        <w:ind w:left="5848" w:hanging="360"/>
      </w:pPr>
      <w:rPr>
        <w:rFonts w:ascii="Courier New" w:eastAsia="Courier New" w:hAnsi="Courier New" w:cs="Courier New"/>
      </w:rPr>
    </w:lvl>
    <w:lvl w:ilvl="8">
      <w:start w:val="1"/>
      <w:numFmt w:val="bullet"/>
      <w:lvlText w:val="▪"/>
      <w:lvlJc w:val="left"/>
      <w:pPr>
        <w:ind w:left="6568" w:hanging="360"/>
      </w:pPr>
      <w:rPr>
        <w:rFonts w:ascii="Noto Sans Symbols" w:eastAsia="Noto Sans Symbols" w:hAnsi="Noto Sans Symbols" w:cs="Noto Sans Symbols"/>
      </w:rPr>
    </w:lvl>
  </w:abstractNum>
  <w:abstractNum w:abstractNumId="1" w15:restartNumberingAfterBreak="0">
    <w:nsid w:val="242C52E5"/>
    <w:multiLevelType w:val="multilevel"/>
    <w:tmpl w:val="BB924FF0"/>
    <w:lvl w:ilvl="0">
      <w:start w:val="1"/>
      <w:numFmt w:val="decimal"/>
      <w:lvlText w:val="%1.1"/>
      <w:lvlJc w:val="left"/>
      <w:pPr>
        <w:ind w:left="720" w:hanging="360"/>
      </w:pPr>
      <w:rPr>
        <w:rFonts w:ascii="Arial" w:eastAsia="Arial" w:hAnsi="Arial" w:cs="Arial"/>
        <w:b w:val="0"/>
        <w:i w:val="0"/>
        <w:sz w:val="20"/>
        <w:szCs w:val="20"/>
        <w:u w:val="none"/>
      </w:rPr>
    </w:lvl>
    <w:lvl w:ilvl="1">
      <w:start w:val="1"/>
      <w:numFmt w:val="decimal"/>
      <w:lvlText w:val="%2.1"/>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42021"/>
    <w:multiLevelType w:val="multilevel"/>
    <w:tmpl w:val="75304B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0B5E21"/>
    <w:multiLevelType w:val="multilevel"/>
    <w:tmpl w:val="D68E8AC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083A77"/>
    <w:multiLevelType w:val="multilevel"/>
    <w:tmpl w:val="71A8A6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651B54"/>
    <w:multiLevelType w:val="multilevel"/>
    <w:tmpl w:val="14EAA8CE"/>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2B"/>
    <w:rsid w:val="002E002C"/>
    <w:rsid w:val="003026AC"/>
    <w:rsid w:val="00C52A5E"/>
    <w:rsid w:val="00CB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7911"/>
  <w15:docId w15:val="{D488847C-6D80-4F4B-97D5-32B9F533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color w:val="323232"/>
      <w:sz w:val="34"/>
      <w:szCs w:val="34"/>
      <w:u w:val="none"/>
      <w:shd w:val="clear" w:color="auto" w:fill="FFFFFF"/>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323232"/>
      <w:sz w:val="34"/>
      <w:szCs w:val="34"/>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4" w:lineRule="auto"/>
      <w:ind w:firstLine="2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18" w:lineRule="auto"/>
    </w:pPr>
    <w:rPr>
      <w:rFonts w:ascii="Times New Roman" w:eastAsia="Times New Roman" w:hAnsi="Times New Roman" w:cs="Times New Roman"/>
      <w:smallCaps/>
      <w:color w:val="323232"/>
      <w:sz w:val="34"/>
      <w:szCs w:val="34"/>
      <w:shd w:val="clear" w:color="auto" w:fill="FFFFFF"/>
    </w:rPr>
  </w:style>
  <w:style w:type="paragraph" w:customStyle="1" w:styleId="Heading11">
    <w:name w:val="Heading #1"/>
    <w:basedOn w:val="Normal"/>
    <w:link w:val="Heading10"/>
    <w:pPr>
      <w:spacing w:line="185" w:lineRule="auto"/>
      <w:ind w:left="3580"/>
      <w:outlineLvl w:val="0"/>
    </w:pPr>
    <w:rPr>
      <w:rFonts w:ascii="Times New Roman" w:eastAsia="Times New Roman" w:hAnsi="Times New Roman" w:cs="Times New Roman"/>
      <w:smallCaps/>
      <w:color w:val="323232"/>
      <w:sz w:val="34"/>
      <w:szCs w:val="34"/>
    </w:rPr>
  </w:style>
  <w:style w:type="paragraph" w:customStyle="1" w:styleId="Bodytext50">
    <w:name w:val="Body text (5)"/>
    <w:basedOn w:val="Normal"/>
    <w:link w:val="Bodytext5"/>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3" w:lineRule="auto"/>
    </w:pPr>
    <w:rPr>
      <w:rFonts w:ascii="Times New Roman" w:eastAsia="Times New Roman" w:hAnsi="Times New Roman" w:cs="Times New Roman"/>
      <w:color w:val="FF0000"/>
      <w:sz w:val="17"/>
      <w:szCs w:val="17"/>
    </w:rPr>
  </w:style>
  <w:style w:type="paragraph" w:customStyle="1" w:styleId="Bodytext20">
    <w:name w:val="Body text (2)"/>
    <w:basedOn w:val="Normal"/>
    <w:link w:val="Bodytext2"/>
    <w:pPr>
      <w:spacing w:line="257" w:lineRule="auto"/>
      <w:ind w:left="1880"/>
    </w:pPr>
    <w:rPr>
      <w:rFonts w:ascii="Times New Roman" w:eastAsia="Times New Roman" w:hAnsi="Times New Roman" w:cs="Times New Roman"/>
      <w:sz w:val="20"/>
      <w:szCs w:val="20"/>
    </w:rPr>
  </w:style>
  <w:style w:type="paragraph" w:customStyle="1" w:styleId="Other0">
    <w:name w:val="Other"/>
    <w:basedOn w:val="Normal"/>
    <w:link w:val="Other"/>
    <w:pPr>
      <w:spacing w:line="254" w:lineRule="auto"/>
      <w:ind w:firstLine="2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BrhRFliq3PAv81BWG64oEva78w==">CgMxLjAyCGguZ2pkZ3hzOAByITF4UTB1YU5FWW8xYnMzSkNzOFA1YkF3U24yQzFaWnNtNw==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2024-07-02T04:37:00Z</dcterms:created>
  <dcterms:modified xsi:type="dcterms:W3CDTF">2024-07-04T03:50:00Z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2565d057be73de51bcba825ee512734de9aa6a2ea561c0d5e00d0e8548caa4ed</vt:lpwstr>
  </property>
</Properties>
</file>