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C62A"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SMT: Annual General Mandate 2024</w:t>
      </w:r>
    </w:p>
    <w:p w14:paraId="7090127F"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On June 28, 2024, </w:t>
      </w:r>
      <w:proofErr w:type="spellStart"/>
      <w:r>
        <w:rPr>
          <w:rFonts w:ascii="Arial" w:hAnsi="Arial"/>
          <w:color w:val="010000"/>
          <w:sz w:val="20"/>
        </w:rPr>
        <w:t>Sametel</w:t>
      </w:r>
      <w:proofErr w:type="spellEnd"/>
      <w:r>
        <w:rPr>
          <w:rFonts w:ascii="Arial" w:hAnsi="Arial"/>
          <w:color w:val="010000"/>
          <w:sz w:val="20"/>
        </w:rPr>
        <w:t xml:space="preserve"> Corporation announced General Mandate No. 2806/2024/NQ-DHDCD as follows: </w:t>
      </w:r>
    </w:p>
    <w:p w14:paraId="622278C9"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 Approve the Report of the Board of </w:t>
      </w:r>
      <w:bookmarkStart w:id="0" w:name="_GoBack"/>
      <w:bookmarkEnd w:id="0"/>
      <w:r>
        <w:rPr>
          <w:rFonts w:ascii="Arial" w:hAnsi="Arial"/>
          <w:color w:val="010000"/>
          <w:sz w:val="20"/>
        </w:rPr>
        <w:t>Directors and the Report of independent member of the Board of Directors in the Audit Committee.</w:t>
      </w:r>
    </w:p>
    <w:p w14:paraId="5F80B187" w14:textId="77777777" w:rsidR="00EC579F" w:rsidRDefault="00226BED" w:rsidP="00A14BE3">
      <w:pPr>
        <w:spacing w:after="120" w:line="360" w:lineRule="auto"/>
        <w:jc w:val="both"/>
        <w:rPr>
          <w:rFonts w:ascii="Arial" w:eastAsia="Arial" w:hAnsi="Arial" w:cs="Arial"/>
          <w:color w:val="010000"/>
          <w:sz w:val="20"/>
          <w:szCs w:val="20"/>
        </w:rPr>
      </w:pPr>
      <w:r>
        <w:rPr>
          <w:rFonts w:ascii="Arial" w:hAnsi="Arial"/>
          <w:color w:val="010000"/>
          <w:sz w:val="20"/>
        </w:rPr>
        <w:t>Business results in 2023:</w:t>
      </w:r>
    </w:p>
    <w:tbl>
      <w:tblPr>
        <w:tblStyle w:val="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1305"/>
        <w:gridCol w:w="1350"/>
        <w:gridCol w:w="1485"/>
        <w:gridCol w:w="1635"/>
        <w:gridCol w:w="1755"/>
      </w:tblGrid>
      <w:tr w:rsidR="00EC579F" w14:paraId="542D7580" w14:textId="77777777">
        <w:trPr>
          <w:trHeight w:val="1275"/>
        </w:trPr>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76135"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Target</w:t>
            </w:r>
          </w:p>
        </w:tc>
        <w:tc>
          <w:tcPr>
            <w:tcW w:w="130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CC90DEF"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Results 2022 (billion VND)</w:t>
            </w:r>
          </w:p>
          <w:p w14:paraId="7828884D" w14:textId="77777777" w:rsidR="00EC579F" w:rsidRDefault="00EC579F" w:rsidP="00A14BE3">
            <w:pPr>
              <w:spacing w:before="240" w:after="120" w:line="360" w:lineRule="auto"/>
              <w:jc w:val="both"/>
              <w:rPr>
                <w:rFonts w:ascii="Arial" w:eastAsia="Arial" w:hAnsi="Arial" w:cs="Arial"/>
                <w:color w:val="010000"/>
                <w:sz w:val="20"/>
                <w:szCs w:val="20"/>
              </w:rPr>
            </w:pPr>
          </w:p>
        </w:tc>
        <w:tc>
          <w:tcPr>
            <w:tcW w:w="13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601E330"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Results 2022 (billion VND)</w:t>
            </w:r>
          </w:p>
          <w:p w14:paraId="517593F5" w14:textId="77777777" w:rsidR="00EC579F" w:rsidRDefault="00EC579F" w:rsidP="00A14BE3">
            <w:pPr>
              <w:spacing w:before="240" w:after="120" w:line="360" w:lineRule="auto"/>
              <w:jc w:val="both"/>
              <w:rPr>
                <w:rFonts w:ascii="Arial" w:eastAsia="Arial" w:hAnsi="Arial" w:cs="Arial"/>
                <w:color w:val="010000"/>
                <w:sz w:val="20"/>
                <w:szCs w:val="20"/>
              </w:rPr>
            </w:pP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6BA10F2"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Plan 2023 (billion VND)</w:t>
            </w:r>
          </w:p>
        </w:tc>
        <w:tc>
          <w:tcPr>
            <w:tcW w:w="163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B28DFD1"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Growth 2023/2022</w:t>
            </w:r>
          </w:p>
          <w:p w14:paraId="7A1F2ED6" w14:textId="77777777" w:rsidR="00EC579F" w:rsidRDefault="00EC579F" w:rsidP="00A14BE3">
            <w:pPr>
              <w:spacing w:before="240" w:after="120" w:line="360" w:lineRule="auto"/>
              <w:jc w:val="both"/>
              <w:rPr>
                <w:rFonts w:ascii="Arial" w:eastAsia="Arial" w:hAnsi="Arial" w:cs="Arial"/>
                <w:color w:val="010000"/>
                <w:sz w:val="20"/>
                <w:szCs w:val="20"/>
              </w:rPr>
            </w:pPr>
          </w:p>
        </w:tc>
        <w:tc>
          <w:tcPr>
            <w:tcW w:w="175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954C6C0"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Results/Plan</w:t>
            </w:r>
          </w:p>
          <w:p w14:paraId="645962BA" w14:textId="77777777" w:rsidR="00EC579F" w:rsidRDefault="00EC579F" w:rsidP="00A14BE3">
            <w:pPr>
              <w:spacing w:before="240" w:after="120" w:line="360" w:lineRule="auto"/>
              <w:jc w:val="both"/>
              <w:rPr>
                <w:rFonts w:ascii="Arial" w:eastAsia="Arial" w:hAnsi="Arial" w:cs="Arial"/>
                <w:color w:val="010000"/>
                <w:sz w:val="20"/>
                <w:szCs w:val="20"/>
              </w:rPr>
            </w:pPr>
          </w:p>
        </w:tc>
      </w:tr>
      <w:tr w:rsidR="00EC579F" w14:paraId="094E97D1" w14:textId="77777777">
        <w:trPr>
          <w:trHeight w:val="435"/>
        </w:trPr>
        <w:tc>
          <w:tcPr>
            <w:tcW w:w="127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F0199F8"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Revenue</w:t>
            </w:r>
          </w:p>
        </w:tc>
        <w:tc>
          <w:tcPr>
            <w:tcW w:w="1305" w:type="dxa"/>
            <w:tcBorders>
              <w:top w:val="nil"/>
              <w:left w:val="nil"/>
              <w:bottom w:val="single" w:sz="6" w:space="0" w:color="000000"/>
              <w:right w:val="single" w:sz="6" w:space="0" w:color="000000"/>
            </w:tcBorders>
            <w:tcMar>
              <w:top w:w="0" w:type="dxa"/>
              <w:left w:w="0" w:type="dxa"/>
              <w:bottom w:w="0" w:type="dxa"/>
              <w:right w:w="0" w:type="dxa"/>
            </w:tcMar>
          </w:tcPr>
          <w:p w14:paraId="2B7CC392"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340.11</w:t>
            </w:r>
          </w:p>
        </w:tc>
        <w:tc>
          <w:tcPr>
            <w:tcW w:w="1350" w:type="dxa"/>
            <w:tcBorders>
              <w:top w:val="nil"/>
              <w:left w:val="nil"/>
              <w:bottom w:val="single" w:sz="6" w:space="0" w:color="000000"/>
              <w:right w:val="single" w:sz="6" w:space="0" w:color="000000"/>
            </w:tcBorders>
            <w:tcMar>
              <w:top w:w="0" w:type="dxa"/>
              <w:left w:w="0" w:type="dxa"/>
              <w:bottom w:w="0" w:type="dxa"/>
              <w:right w:w="0" w:type="dxa"/>
            </w:tcMar>
          </w:tcPr>
          <w:p w14:paraId="6C6770E8"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177.76</w:t>
            </w:r>
          </w:p>
        </w:tc>
        <w:tc>
          <w:tcPr>
            <w:tcW w:w="1485" w:type="dxa"/>
            <w:tcBorders>
              <w:top w:val="nil"/>
              <w:left w:val="nil"/>
              <w:bottom w:val="single" w:sz="6" w:space="0" w:color="000000"/>
              <w:right w:val="single" w:sz="6" w:space="0" w:color="000000"/>
            </w:tcBorders>
            <w:tcMar>
              <w:top w:w="0" w:type="dxa"/>
              <w:left w:w="0" w:type="dxa"/>
              <w:bottom w:w="0" w:type="dxa"/>
              <w:right w:w="0" w:type="dxa"/>
            </w:tcMar>
          </w:tcPr>
          <w:p w14:paraId="57636F50"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350,000.00</w:t>
            </w:r>
          </w:p>
        </w:tc>
        <w:tc>
          <w:tcPr>
            <w:tcW w:w="1635" w:type="dxa"/>
            <w:tcBorders>
              <w:top w:val="nil"/>
              <w:left w:val="nil"/>
              <w:bottom w:val="single" w:sz="6" w:space="0" w:color="000000"/>
              <w:right w:val="single" w:sz="6" w:space="0" w:color="000000"/>
            </w:tcBorders>
            <w:tcMar>
              <w:top w:w="0" w:type="dxa"/>
              <w:left w:w="0" w:type="dxa"/>
              <w:bottom w:w="0" w:type="dxa"/>
              <w:right w:w="0" w:type="dxa"/>
            </w:tcMar>
          </w:tcPr>
          <w:p w14:paraId="1CB233CB"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-52%</w:t>
            </w:r>
          </w:p>
        </w:tc>
        <w:tc>
          <w:tcPr>
            <w:tcW w:w="1755" w:type="dxa"/>
            <w:tcBorders>
              <w:top w:val="nil"/>
              <w:left w:val="nil"/>
              <w:bottom w:val="single" w:sz="6" w:space="0" w:color="000000"/>
              <w:right w:val="single" w:sz="6" w:space="0" w:color="000000"/>
            </w:tcBorders>
            <w:tcMar>
              <w:top w:w="0" w:type="dxa"/>
              <w:left w:w="0" w:type="dxa"/>
              <w:bottom w:w="0" w:type="dxa"/>
              <w:right w:w="0" w:type="dxa"/>
            </w:tcMar>
          </w:tcPr>
          <w:p w14:paraId="7B79C384"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0%</w:t>
            </w:r>
          </w:p>
        </w:tc>
      </w:tr>
      <w:tr w:rsidR="00EC579F" w14:paraId="1EE17195" w14:textId="77777777">
        <w:trPr>
          <w:trHeight w:val="435"/>
        </w:trPr>
        <w:tc>
          <w:tcPr>
            <w:tcW w:w="127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722DFF4"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Profit</w:t>
            </w:r>
          </w:p>
        </w:tc>
        <w:tc>
          <w:tcPr>
            <w:tcW w:w="1305" w:type="dxa"/>
            <w:tcBorders>
              <w:top w:val="nil"/>
              <w:left w:val="nil"/>
              <w:bottom w:val="single" w:sz="6" w:space="0" w:color="000000"/>
              <w:right w:val="single" w:sz="6" w:space="0" w:color="000000"/>
            </w:tcBorders>
            <w:tcMar>
              <w:top w:w="0" w:type="dxa"/>
              <w:left w:w="0" w:type="dxa"/>
              <w:bottom w:w="0" w:type="dxa"/>
              <w:right w:w="0" w:type="dxa"/>
            </w:tcMar>
          </w:tcPr>
          <w:p w14:paraId="7FF661DD"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0.56</w:t>
            </w:r>
          </w:p>
        </w:tc>
        <w:tc>
          <w:tcPr>
            <w:tcW w:w="1350" w:type="dxa"/>
            <w:tcBorders>
              <w:top w:val="nil"/>
              <w:left w:val="nil"/>
              <w:bottom w:val="single" w:sz="6" w:space="0" w:color="000000"/>
              <w:right w:val="single" w:sz="6" w:space="0" w:color="000000"/>
            </w:tcBorders>
            <w:tcMar>
              <w:top w:w="0" w:type="dxa"/>
              <w:left w:w="0" w:type="dxa"/>
              <w:bottom w:w="0" w:type="dxa"/>
              <w:right w:w="0" w:type="dxa"/>
            </w:tcMar>
          </w:tcPr>
          <w:p w14:paraId="2A154D67"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-3.30</w:t>
            </w:r>
          </w:p>
        </w:tc>
        <w:tc>
          <w:tcPr>
            <w:tcW w:w="1485" w:type="dxa"/>
            <w:tcBorders>
              <w:top w:val="nil"/>
              <w:left w:val="nil"/>
              <w:bottom w:val="single" w:sz="6" w:space="0" w:color="000000"/>
              <w:right w:val="single" w:sz="6" w:space="0" w:color="000000"/>
            </w:tcBorders>
            <w:tcMar>
              <w:top w:w="0" w:type="dxa"/>
              <w:left w:w="0" w:type="dxa"/>
              <w:bottom w:w="0" w:type="dxa"/>
              <w:right w:w="0" w:type="dxa"/>
            </w:tcMar>
          </w:tcPr>
          <w:p w14:paraId="0E473479"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8,000.00</w:t>
            </w:r>
          </w:p>
        </w:tc>
        <w:tc>
          <w:tcPr>
            <w:tcW w:w="1635" w:type="dxa"/>
            <w:tcBorders>
              <w:top w:val="nil"/>
              <w:left w:val="nil"/>
              <w:bottom w:val="single" w:sz="6" w:space="0" w:color="000000"/>
              <w:right w:val="single" w:sz="6" w:space="0" w:color="000000"/>
            </w:tcBorders>
            <w:tcMar>
              <w:top w:w="0" w:type="dxa"/>
              <w:left w:w="0" w:type="dxa"/>
              <w:bottom w:w="0" w:type="dxa"/>
              <w:right w:w="0" w:type="dxa"/>
            </w:tcMar>
          </w:tcPr>
          <w:p w14:paraId="5CB4C771"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-589%</w:t>
            </w:r>
          </w:p>
        </w:tc>
        <w:tc>
          <w:tcPr>
            <w:tcW w:w="1755" w:type="dxa"/>
            <w:tcBorders>
              <w:top w:val="nil"/>
              <w:left w:val="nil"/>
              <w:bottom w:val="single" w:sz="6" w:space="0" w:color="000000"/>
              <w:right w:val="single" w:sz="6" w:space="0" w:color="000000"/>
            </w:tcBorders>
            <w:tcMar>
              <w:top w:w="0" w:type="dxa"/>
              <w:left w:w="0" w:type="dxa"/>
              <w:bottom w:w="0" w:type="dxa"/>
              <w:right w:w="0" w:type="dxa"/>
            </w:tcMar>
          </w:tcPr>
          <w:p w14:paraId="1E5430D1"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0%</w:t>
            </w:r>
          </w:p>
        </w:tc>
      </w:tr>
    </w:tbl>
    <w:p w14:paraId="49CF28AF"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2. Approve the Audited Financial Statement 2023 and the profit distribution plan in 2023.</w:t>
      </w:r>
    </w:p>
    <w:p w14:paraId="2B58AD53"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Plan on profit distribution in 2023:</w:t>
      </w:r>
    </w:p>
    <w:tbl>
      <w:tblPr>
        <w:tblStyle w:val="a0"/>
        <w:tblW w:w="8820" w:type="dxa"/>
        <w:tblBorders>
          <w:top w:val="nil"/>
          <w:left w:val="nil"/>
          <w:bottom w:val="nil"/>
          <w:right w:val="nil"/>
          <w:insideH w:val="nil"/>
          <w:insideV w:val="nil"/>
        </w:tblBorders>
        <w:tblLayout w:type="fixed"/>
        <w:tblLook w:val="0600" w:firstRow="0" w:lastRow="0" w:firstColumn="0" w:lastColumn="0" w:noHBand="1" w:noVBand="1"/>
      </w:tblPr>
      <w:tblGrid>
        <w:gridCol w:w="735"/>
        <w:gridCol w:w="5865"/>
        <w:gridCol w:w="2220"/>
      </w:tblGrid>
      <w:tr w:rsidR="00EC579F" w14:paraId="6C9BE76D" w14:textId="77777777">
        <w:trPr>
          <w:trHeight w:val="435"/>
        </w:trPr>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E0446"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No.</w:t>
            </w:r>
          </w:p>
        </w:tc>
        <w:tc>
          <w:tcPr>
            <w:tcW w:w="58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2F6B0F8"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Targets</w:t>
            </w:r>
          </w:p>
        </w:tc>
        <w:tc>
          <w:tcPr>
            <w:tcW w:w="22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CEFF523"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Amount (VND)</w:t>
            </w:r>
          </w:p>
        </w:tc>
      </w:tr>
      <w:tr w:rsidR="00EC579F" w14:paraId="7EC0E5A8" w14:textId="77777777">
        <w:trPr>
          <w:trHeight w:val="435"/>
        </w:trPr>
        <w:tc>
          <w:tcPr>
            <w:tcW w:w="73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0A24C7"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1</w:t>
            </w:r>
          </w:p>
        </w:tc>
        <w:tc>
          <w:tcPr>
            <w:tcW w:w="5865" w:type="dxa"/>
            <w:tcBorders>
              <w:top w:val="nil"/>
              <w:left w:val="nil"/>
              <w:bottom w:val="single" w:sz="6" w:space="0" w:color="000000"/>
              <w:right w:val="single" w:sz="6" w:space="0" w:color="000000"/>
            </w:tcBorders>
            <w:tcMar>
              <w:top w:w="0" w:type="dxa"/>
              <w:left w:w="0" w:type="dxa"/>
              <w:bottom w:w="0" w:type="dxa"/>
              <w:right w:w="0" w:type="dxa"/>
            </w:tcMar>
          </w:tcPr>
          <w:p w14:paraId="0431BA97"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Profit after tax</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2CFF399"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-3,301,934,996</w:t>
            </w:r>
          </w:p>
        </w:tc>
      </w:tr>
      <w:tr w:rsidR="00EC579F" w14:paraId="032C4677" w14:textId="77777777">
        <w:trPr>
          <w:trHeight w:val="435"/>
        </w:trPr>
        <w:tc>
          <w:tcPr>
            <w:tcW w:w="73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9375D43"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2</w:t>
            </w:r>
          </w:p>
        </w:tc>
        <w:tc>
          <w:tcPr>
            <w:tcW w:w="5865" w:type="dxa"/>
            <w:tcBorders>
              <w:top w:val="nil"/>
              <w:left w:val="nil"/>
              <w:bottom w:val="single" w:sz="6" w:space="0" w:color="000000"/>
              <w:right w:val="single" w:sz="6" w:space="0" w:color="000000"/>
            </w:tcBorders>
            <w:tcMar>
              <w:top w:w="0" w:type="dxa"/>
              <w:left w:w="0" w:type="dxa"/>
              <w:bottom w:w="0" w:type="dxa"/>
              <w:right w:w="0" w:type="dxa"/>
            </w:tcMar>
          </w:tcPr>
          <w:p w14:paraId="6C01AE3A"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Profit distribution (dividend payment, appropriation for funds, etc.)</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1785CD93" w14:textId="77777777" w:rsidR="00EC579F" w:rsidRDefault="00226BED" w:rsidP="00A14BE3">
            <w:pPr>
              <w:spacing w:before="240" w:after="120" w:line="360" w:lineRule="auto"/>
              <w:jc w:val="both"/>
              <w:rPr>
                <w:rFonts w:ascii="Arial" w:eastAsia="Arial" w:hAnsi="Arial" w:cs="Arial"/>
                <w:color w:val="010000"/>
                <w:sz w:val="20"/>
                <w:szCs w:val="20"/>
              </w:rPr>
            </w:pPr>
            <w:r>
              <w:rPr>
                <w:rFonts w:ascii="Arial" w:hAnsi="Arial"/>
                <w:color w:val="010000"/>
                <w:sz w:val="20"/>
              </w:rPr>
              <w:t>0</w:t>
            </w:r>
          </w:p>
        </w:tc>
      </w:tr>
    </w:tbl>
    <w:p w14:paraId="63EBFA6B"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3. Approve on selecting the audit company for the Financial Statements 2024:</w:t>
      </w:r>
    </w:p>
    <w:p w14:paraId="6EF2D048"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approved on selecting UHY Auditing &amp; Consulting Company Limited as the audit company for the Financial Statements 2024.</w:t>
      </w:r>
    </w:p>
    <w:p w14:paraId="742D4C32"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4. Approve the business plan for 2024:</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6604"/>
        <w:gridCol w:w="1720"/>
      </w:tblGrid>
      <w:tr w:rsidR="00EC579F" w14:paraId="6256215D" w14:textId="77777777">
        <w:tc>
          <w:tcPr>
            <w:tcW w:w="693" w:type="dxa"/>
            <w:shd w:val="clear" w:color="auto" w:fill="auto"/>
            <w:tcMar>
              <w:top w:w="0" w:type="dxa"/>
              <w:bottom w:w="0" w:type="dxa"/>
            </w:tcMar>
            <w:vAlign w:val="center"/>
          </w:tcPr>
          <w:p w14:paraId="08D105B1"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No.</w:t>
            </w:r>
          </w:p>
        </w:tc>
        <w:tc>
          <w:tcPr>
            <w:tcW w:w="6604" w:type="dxa"/>
            <w:shd w:val="clear" w:color="auto" w:fill="auto"/>
            <w:tcMar>
              <w:top w:w="0" w:type="dxa"/>
              <w:bottom w:w="0" w:type="dxa"/>
            </w:tcMar>
            <w:vAlign w:val="center"/>
          </w:tcPr>
          <w:p w14:paraId="55D3FD97"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Item</w:t>
            </w:r>
          </w:p>
        </w:tc>
        <w:tc>
          <w:tcPr>
            <w:tcW w:w="1720" w:type="dxa"/>
            <w:shd w:val="clear" w:color="auto" w:fill="auto"/>
            <w:tcMar>
              <w:top w:w="0" w:type="dxa"/>
              <w:bottom w:w="0" w:type="dxa"/>
            </w:tcMar>
            <w:vAlign w:val="center"/>
          </w:tcPr>
          <w:p w14:paraId="40B45CBA"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Amount (Billion VND)</w:t>
            </w:r>
          </w:p>
        </w:tc>
      </w:tr>
      <w:tr w:rsidR="00EC579F" w14:paraId="6568AA7E" w14:textId="77777777">
        <w:tc>
          <w:tcPr>
            <w:tcW w:w="693" w:type="dxa"/>
            <w:shd w:val="clear" w:color="auto" w:fill="auto"/>
            <w:tcMar>
              <w:top w:w="0" w:type="dxa"/>
              <w:bottom w:w="0" w:type="dxa"/>
            </w:tcMar>
            <w:vAlign w:val="center"/>
          </w:tcPr>
          <w:p w14:paraId="1D4AC5CD"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1</w:t>
            </w:r>
          </w:p>
        </w:tc>
        <w:tc>
          <w:tcPr>
            <w:tcW w:w="6604" w:type="dxa"/>
            <w:shd w:val="clear" w:color="auto" w:fill="auto"/>
            <w:tcMar>
              <w:top w:w="0" w:type="dxa"/>
              <w:bottom w:w="0" w:type="dxa"/>
            </w:tcMar>
            <w:vAlign w:val="center"/>
          </w:tcPr>
          <w:p w14:paraId="58931B38"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Net revenue</w:t>
            </w:r>
          </w:p>
        </w:tc>
        <w:tc>
          <w:tcPr>
            <w:tcW w:w="1720" w:type="dxa"/>
            <w:shd w:val="clear" w:color="auto" w:fill="auto"/>
            <w:tcMar>
              <w:top w:w="0" w:type="dxa"/>
              <w:bottom w:w="0" w:type="dxa"/>
            </w:tcMar>
            <w:vAlign w:val="center"/>
          </w:tcPr>
          <w:p w14:paraId="1E8813B4"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120</w:t>
            </w:r>
          </w:p>
        </w:tc>
      </w:tr>
      <w:tr w:rsidR="00EC579F" w14:paraId="0AB44A40" w14:textId="77777777">
        <w:tc>
          <w:tcPr>
            <w:tcW w:w="693" w:type="dxa"/>
            <w:shd w:val="clear" w:color="auto" w:fill="auto"/>
            <w:tcMar>
              <w:top w:w="0" w:type="dxa"/>
              <w:bottom w:w="0" w:type="dxa"/>
            </w:tcMar>
            <w:vAlign w:val="center"/>
          </w:tcPr>
          <w:p w14:paraId="7B619643"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2</w:t>
            </w:r>
          </w:p>
        </w:tc>
        <w:tc>
          <w:tcPr>
            <w:tcW w:w="6604" w:type="dxa"/>
            <w:shd w:val="clear" w:color="auto" w:fill="auto"/>
            <w:tcMar>
              <w:top w:w="0" w:type="dxa"/>
              <w:bottom w:w="0" w:type="dxa"/>
            </w:tcMar>
            <w:vAlign w:val="center"/>
          </w:tcPr>
          <w:p w14:paraId="69CE7728"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Profit before tax</w:t>
            </w:r>
          </w:p>
        </w:tc>
        <w:tc>
          <w:tcPr>
            <w:tcW w:w="1720" w:type="dxa"/>
            <w:shd w:val="clear" w:color="auto" w:fill="auto"/>
            <w:tcMar>
              <w:top w:w="0" w:type="dxa"/>
              <w:bottom w:w="0" w:type="dxa"/>
            </w:tcMar>
            <w:vAlign w:val="center"/>
          </w:tcPr>
          <w:p w14:paraId="30BE2C3F"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3</w:t>
            </w:r>
          </w:p>
        </w:tc>
      </w:tr>
      <w:tr w:rsidR="00EC579F" w14:paraId="41BE6CF8" w14:textId="77777777">
        <w:tc>
          <w:tcPr>
            <w:tcW w:w="693" w:type="dxa"/>
            <w:shd w:val="clear" w:color="auto" w:fill="auto"/>
            <w:tcMar>
              <w:top w:w="0" w:type="dxa"/>
              <w:bottom w:w="0" w:type="dxa"/>
            </w:tcMar>
            <w:vAlign w:val="center"/>
          </w:tcPr>
          <w:p w14:paraId="4191392A"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3</w:t>
            </w:r>
          </w:p>
        </w:tc>
        <w:tc>
          <w:tcPr>
            <w:tcW w:w="6604" w:type="dxa"/>
            <w:shd w:val="clear" w:color="auto" w:fill="auto"/>
            <w:tcMar>
              <w:top w:w="0" w:type="dxa"/>
              <w:bottom w:w="0" w:type="dxa"/>
            </w:tcMar>
            <w:vAlign w:val="center"/>
          </w:tcPr>
          <w:p w14:paraId="7B4AD7C5"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Dividend (cash and/or share): No dividend payment</w:t>
            </w:r>
          </w:p>
        </w:tc>
        <w:tc>
          <w:tcPr>
            <w:tcW w:w="1720" w:type="dxa"/>
            <w:shd w:val="clear" w:color="auto" w:fill="auto"/>
            <w:tcMar>
              <w:top w:w="0" w:type="dxa"/>
              <w:bottom w:w="0" w:type="dxa"/>
            </w:tcMar>
            <w:vAlign w:val="center"/>
          </w:tcPr>
          <w:p w14:paraId="0144A6C4"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0</w:t>
            </w:r>
          </w:p>
        </w:tc>
      </w:tr>
    </w:tbl>
    <w:p w14:paraId="41672FAD"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5. Approve the Report on remuneration for the Board of Directors and the Executive Board in 2023 and the plan on appropriation for operational budget for 2024.</w:t>
      </w:r>
    </w:p>
    <w:p w14:paraId="2E9CCD06" w14:textId="77777777"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r>
        <w:rPr>
          <w:rFonts w:ascii="Arial" w:hAnsi="Arial"/>
          <w:color w:val="010000"/>
          <w:sz w:val="20"/>
        </w:rPr>
        <w:t xml:space="preserve">Operational budget of the Board of Directors and the Executive Board: Maximum 5% of profit before </w:t>
      </w:r>
      <w:r>
        <w:rPr>
          <w:rFonts w:ascii="Arial" w:hAnsi="Arial"/>
          <w:color w:val="010000"/>
          <w:sz w:val="20"/>
        </w:rPr>
        <w:lastRenderedPageBreak/>
        <w:t>tax and minimum equal to each member's income in 2023.</w:t>
      </w:r>
    </w:p>
    <w:p w14:paraId="50723C77" w14:textId="7DD30D36"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r>
        <w:rPr>
          <w:rFonts w:ascii="Arial" w:hAnsi="Arial"/>
          <w:color w:val="010000"/>
          <w:sz w:val="20"/>
        </w:rPr>
        <w:t>The Board of Directors implement the remuneration and operational expenses payment of the Board of Directors and the Audit Committee in accordance with regulations.</w:t>
      </w:r>
    </w:p>
    <w:p w14:paraId="4986808A" w14:textId="77777777"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r>
        <w:rPr>
          <w:rFonts w:ascii="Arial" w:hAnsi="Arial"/>
          <w:color w:val="010000"/>
          <w:sz w:val="20"/>
        </w:rPr>
        <w:t>Bonus: In case of exceeding the planned profit after tax, the Board of Directors will submit to the General Meeting of Shareholders to consider the bonus for the Board of Directors, the Audit Committee, and the Executive Board.</w:t>
      </w:r>
    </w:p>
    <w:p w14:paraId="47FE09C5" w14:textId="77777777" w:rsidR="00EC579F" w:rsidRDefault="00226BED" w:rsidP="00A14BE3">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6. Approve on continuing to implement the private placement of shares.</w:t>
      </w:r>
    </w:p>
    <w:p w14:paraId="77C9AA06" w14:textId="77777777"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bookmarkStart w:id="1" w:name="_heading=h.gjdgxs"/>
      <w:bookmarkEnd w:id="1"/>
      <w:r>
        <w:rPr>
          <w:rFonts w:ascii="Arial" w:hAnsi="Arial"/>
          <w:color w:val="010000"/>
          <w:sz w:val="20"/>
        </w:rPr>
        <w:t>The General Meeting of Shareholders approved on continuing to implement the private placement of shares, specifically according to General Mandate No. 2104/2023/NQ-DHDCD approved at the Annual General Meeting of Shareholders 2023.</w:t>
      </w:r>
    </w:p>
    <w:p w14:paraId="0E8C91C2" w14:textId="77777777"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r>
        <w:rPr>
          <w:rFonts w:ascii="Arial" w:hAnsi="Arial"/>
          <w:color w:val="010000"/>
          <w:sz w:val="20"/>
        </w:rPr>
        <w:t>Authorize the Board of Directors to amend and supplement contents related to the issuance when requested by the regulatory agency according to regulations.</w:t>
      </w:r>
    </w:p>
    <w:p w14:paraId="41C07068" w14:textId="77777777" w:rsidR="00EC579F" w:rsidRDefault="00226BED" w:rsidP="00A14BE3">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7. Approve on continuing to implement the plan to transfer assets attached to land in Long Thanh Industrial Park.</w:t>
      </w:r>
    </w:p>
    <w:p w14:paraId="0EA510B6" w14:textId="77777777"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of Shareholders approved the plan on transferring all assets attached to land and land use rights in Long Thanh Industrial Park, Tam </w:t>
      </w:r>
      <w:proofErr w:type="gramStart"/>
      <w:r>
        <w:rPr>
          <w:rFonts w:ascii="Arial" w:hAnsi="Arial"/>
          <w:color w:val="010000"/>
          <w:sz w:val="20"/>
        </w:rPr>
        <w:t>An</w:t>
      </w:r>
      <w:proofErr w:type="gramEnd"/>
      <w:r>
        <w:rPr>
          <w:rFonts w:ascii="Arial" w:hAnsi="Arial"/>
          <w:color w:val="010000"/>
          <w:sz w:val="20"/>
        </w:rPr>
        <w:t xml:space="preserve"> Commune, Long Thanh District, Dong </w:t>
      </w:r>
      <w:proofErr w:type="spellStart"/>
      <w:r>
        <w:rPr>
          <w:rFonts w:ascii="Arial" w:hAnsi="Arial"/>
          <w:color w:val="010000"/>
          <w:sz w:val="20"/>
        </w:rPr>
        <w:t>Nai</w:t>
      </w:r>
      <w:proofErr w:type="spellEnd"/>
      <w:r>
        <w:rPr>
          <w:rFonts w:ascii="Arial" w:hAnsi="Arial"/>
          <w:color w:val="010000"/>
          <w:sz w:val="20"/>
        </w:rPr>
        <w:t xml:space="preserve"> Province, Vietnam under the use rights of 12,709.6 m2 of Company’s land.</w:t>
      </w:r>
    </w:p>
    <w:p w14:paraId="6D7EE22B" w14:textId="77777777" w:rsidR="00EC579F" w:rsidRDefault="00226BED" w:rsidP="00A14BE3">
      <w:pPr>
        <w:numPr>
          <w:ilvl w:val="0"/>
          <w:numId w:val="1"/>
        </w:numPr>
        <w:pBdr>
          <w:top w:val="nil"/>
          <w:left w:val="nil"/>
          <w:bottom w:val="nil"/>
          <w:right w:val="nil"/>
          <w:between w:val="nil"/>
        </w:pBdr>
        <w:tabs>
          <w:tab w:val="left" w:pos="356"/>
        </w:tabs>
        <w:spacing w:after="120" w:line="360" w:lineRule="auto"/>
        <w:jc w:val="both"/>
        <w:rPr>
          <w:rFonts w:ascii="Arial" w:eastAsia="Arial" w:hAnsi="Arial" w:cs="Arial"/>
          <w:color w:val="010000"/>
          <w:sz w:val="20"/>
          <w:szCs w:val="20"/>
        </w:rPr>
      </w:pPr>
      <w:r>
        <w:rPr>
          <w:rFonts w:ascii="Arial" w:hAnsi="Arial"/>
          <w:color w:val="010000"/>
          <w:sz w:val="20"/>
        </w:rPr>
        <w:t>Authorize the Board of Directors to negotiate, decide on the time to transfer assets such as factories, offices, and auxiliary works attached to land and implement relevant transfer procedures to complete the transfer.</w:t>
      </w:r>
    </w:p>
    <w:p w14:paraId="37B77379" w14:textId="77777777" w:rsidR="00EC579F" w:rsidRDefault="00226BED" w:rsidP="00A14BE3">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8. Approve the election result of members of the Board of Directors for the term 2024-2029.</w:t>
      </w:r>
    </w:p>
    <w:p w14:paraId="13D5B982" w14:textId="77777777" w:rsidR="00EC579F" w:rsidRDefault="00226BED" w:rsidP="00A14BE3">
      <w:pPr>
        <w:numPr>
          <w:ilvl w:val="0"/>
          <w:numId w:val="2"/>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Mr. Nguyen Dong Hung</w:t>
      </w:r>
    </w:p>
    <w:p w14:paraId="093A6DD2" w14:textId="77777777" w:rsidR="00EC579F" w:rsidRDefault="00226BED" w:rsidP="00A14BE3">
      <w:pPr>
        <w:numPr>
          <w:ilvl w:val="0"/>
          <w:numId w:val="2"/>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Mr. Nguyen Ngoc </w:t>
      </w:r>
      <w:proofErr w:type="spellStart"/>
      <w:r>
        <w:rPr>
          <w:rFonts w:ascii="Arial" w:hAnsi="Arial"/>
          <w:color w:val="010000"/>
          <w:sz w:val="20"/>
        </w:rPr>
        <w:t>Huy</w:t>
      </w:r>
      <w:proofErr w:type="spellEnd"/>
    </w:p>
    <w:p w14:paraId="2193D09B" w14:textId="77777777" w:rsidR="00EC579F" w:rsidRDefault="00226BED" w:rsidP="00A14BE3">
      <w:pPr>
        <w:numPr>
          <w:ilvl w:val="0"/>
          <w:numId w:val="2"/>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Ms. Tran Thuy </w:t>
      </w:r>
      <w:proofErr w:type="spellStart"/>
      <w:r>
        <w:rPr>
          <w:rFonts w:ascii="Arial" w:hAnsi="Arial"/>
          <w:color w:val="010000"/>
          <w:sz w:val="20"/>
        </w:rPr>
        <w:t>Linh</w:t>
      </w:r>
      <w:proofErr w:type="spellEnd"/>
    </w:p>
    <w:p w14:paraId="3EB69071" w14:textId="77777777" w:rsidR="00EC579F" w:rsidRDefault="00226BED" w:rsidP="00A14BE3">
      <w:pPr>
        <w:numPr>
          <w:ilvl w:val="0"/>
          <w:numId w:val="2"/>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Mr. Do </w:t>
      </w:r>
      <w:proofErr w:type="spellStart"/>
      <w:r>
        <w:rPr>
          <w:rFonts w:ascii="Arial" w:hAnsi="Arial"/>
          <w:color w:val="010000"/>
          <w:sz w:val="20"/>
        </w:rPr>
        <w:t>Tu</w:t>
      </w:r>
      <w:proofErr w:type="spellEnd"/>
      <w:r>
        <w:rPr>
          <w:rFonts w:ascii="Arial" w:hAnsi="Arial"/>
          <w:color w:val="010000"/>
          <w:sz w:val="20"/>
        </w:rPr>
        <w:t xml:space="preserve"> </w:t>
      </w:r>
      <w:proofErr w:type="spellStart"/>
      <w:r>
        <w:rPr>
          <w:rFonts w:ascii="Arial" w:hAnsi="Arial"/>
          <w:color w:val="010000"/>
          <w:sz w:val="20"/>
        </w:rPr>
        <w:t>Cuong</w:t>
      </w:r>
      <w:proofErr w:type="spellEnd"/>
    </w:p>
    <w:p w14:paraId="7CD0197C" w14:textId="77777777" w:rsidR="00EC579F" w:rsidRDefault="00226BED" w:rsidP="00A14BE3">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9. Terms of enforcement.</w:t>
      </w:r>
    </w:p>
    <w:p w14:paraId="566EB377"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This General Mandate of </w:t>
      </w:r>
      <w:proofErr w:type="spellStart"/>
      <w:r>
        <w:rPr>
          <w:rFonts w:ascii="Arial" w:hAnsi="Arial"/>
          <w:color w:val="010000"/>
          <w:sz w:val="20"/>
        </w:rPr>
        <w:t>Sametel</w:t>
      </w:r>
      <w:proofErr w:type="spellEnd"/>
      <w:r>
        <w:rPr>
          <w:rFonts w:ascii="Arial" w:hAnsi="Arial"/>
          <w:color w:val="010000"/>
          <w:sz w:val="20"/>
        </w:rPr>
        <w:t xml:space="preserve"> Corporation was prepared, announced, and approved before the entire shareholders attending the Meeting at 9:35 a.m. on June 28, 2024.</w:t>
      </w:r>
    </w:p>
    <w:p w14:paraId="6FE7BB29" w14:textId="77777777" w:rsidR="00EC579F" w:rsidRDefault="00226BED" w:rsidP="00A14BE3">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This General Mandate takes effect from the date of its promulgation. members of the Board of Directors, the Executive Board, departments, and units under </w:t>
      </w:r>
      <w:proofErr w:type="spellStart"/>
      <w:r>
        <w:rPr>
          <w:rFonts w:ascii="Arial" w:hAnsi="Arial"/>
          <w:color w:val="010000"/>
          <w:sz w:val="20"/>
        </w:rPr>
        <w:t>Sametel</w:t>
      </w:r>
      <w:proofErr w:type="spellEnd"/>
      <w:r>
        <w:rPr>
          <w:rFonts w:ascii="Arial" w:hAnsi="Arial"/>
          <w:color w:val="010000"/>
          <w:sz w:val="20"/>
        </w:rPr>
        <w:t xml:space="preserve"> Corporation are responsible for implementing this General Mandate in accordance with the provisions of law and the Company’s Charter.</w:t>
      </w:r>
    </w:p>
    <w:sectPr w:rsidR="00EC579F">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D3039"/>
    <w:multiLevelType w:val="multilevel"/>
    <w:tmpl w:val="4D7E65A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7CE623E"/>
    <w:multiLevelType w:val="multilevel"/>
    <w:tmpl w:val="585E66B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9F"/>
    <w:rsid w:val="00226BED"/>
    <w:rsid w:val="00A14BE3"/>
    <w:rsid w:val="00C75CD5"/>
    <w:rsid w:val="00EC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EBB9"/>
  <w15:docId w15:val="{1CD8A842-A437-4030-B34F-4C93E75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ahoma" w:eastAsia="Tahoma" w:hAnsi="Tahoma" w:cs="Tahoma"/>
      <w:b w:val="0"/>
      <w:bCs w:val="0"/>
      <w:i w:val="0"/>
      <w:iCs w:val="0"/>
      <w:smallCaps w:val="0"/>
      <w:strike w:val="0"/>
      <w:color w:val="C02C4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Tahoma" w:eastAsia="Tahoma" w:hAnsi="Tahoma" w:cs="Tahoma"/>
      <w:b/>
      <w:bCs/>
      <w:i w:val="0"/>
      <w:iCs w:val="0"/>
      <w:smallCaps w:val="0"/>
      <w:strike w:val="0"/>
      <w:sz w:val="19"/>
      <w:szCs w:val="19"/>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8"/>
      <w:szCs w:val="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76" w:lineRule="auto"/>
      <w:ind w:firstLine="160"/>
    </w:pPr>
    <w:rPr>
      <w:rFonts w:ascii="Times New Roman" w:eastAsia="Times New Roman" w:hAnsi="Times New Roman" w:cs="Times New Roman"/>
    </w:rPr>
  </w:style>
  <w:style w:type="paragraph" w:customStyle="1" w:styleId="Vnbnnidung30">
    <w:name w:val="Văn bản nội dung (3)"/>
    <w:basedOn w:val="Normal"/>
    <w:link w:val="Vnbnnidung3"/>
    <w:pPr>
      <w:jc w:val="right"/>
    </w:pPr>
    <w:rPr>
      <w:rFonts w:ascii="Tahoma" w:eastAsia="Tahoma" w:hAnsi="Tahoma" w:cs="Tahoma"/>
      <w:color w:val="C02C40"/>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rPr>
  </w:style>
  <w:style w:type="paragraph" w:customStyle="1" w:styleId="Chthchbng0">
    <w:name w:val="Chú thích bảng"/>
    <w:basedOn w:val="Normal"/>
    <w:link w:val="Chthchbng"/>
    <w:rPr>
      <w:rFonts w:ascii="Times New Roman" w:eastAsia="Times New Roman" w:hAnsi="Times New Roman" w:cs="Times New Roman"/>
      <w:b/>
      <w:bCs/>
      <w:sz w:val="22"/>
      <w:szCs w:val="22"/>
    </w:rPr>
  </w:style>
  <w:style w:type="paragraph" w:customStyle="1" w:styleId="Khc0">
    <w:name w:val="Khác"/>
    <w:basedOn w:val="Normal"/>
    <w:link w:val="Khc"/>
    <w:pPr>
      <w:spacing w:line="276" w:lineRule="auto"/>
      <w:ind w:firstLine="160"/>
    </w:pPr>
    <w:rPr>
      <w:rFonts w:ascii="Times New Roman" w:eastAsia="Times New Roman" w:hAnsi="Times New Roman" w:cs="Times New Roman"/>
    </w:rPr>
  </w:style>
  <w:style w:type="paragraph" w:customStyle="1" w:styleId="Vnbnnidung40">
    <w:name w:val="Văn bản nội dung (4)"/>
    <w:basedOn w:val="Normal"/>
    <w:link w:val="Vnbnnidung4"/>
    <w:rPr>
      <w:rFonts w:ascii="Tahoma" w:eastAsia="Tahoma" w:hAnsi="Tahoma" w:cs="Tahoma"/>
      <w:b/>
      <w:bCs/>
      <w:sz w:val="19"/>
      <w:szCs w:val="19"/>
    </w:rPr>
  </w:style>
  <w:style w:type="paragraph" w:customStyle="1" w:styleId="Vnbnnidung20">
    <w:name w:val="Văn bản nội dung (2)"/>
    <w:basedOn w:val="Normal"/>
    <w:link w:val="Vnbnnidung2"/>
    <w:pPr>
      <w:ind w:firstLine="140"/>
    </w:pPr>
    <w:rPr>
      <w:rFonts w:ascii="Times New Roman" w:eastAsia="Times New Roman" w:hAnsi="Times New Roman" w:cs="Times New Roman"/>
      <w:i/>
      <w:iCs/>
      <w:sz w:val="8"/>
      <w:szCs w:val="8"/>
    </w:rPr>
  </w:style>
  <w:style w:type="paragraph" w:customStyle="1" w:styleId="Tiu20">
    <w:name w:val="Tiêu đề #2"/>
    <w:basedOn w:val="Normal"/>
    <w:link w:val="Tiu2"/>
    <w:pPr>
      <w:spacing w:line="300" w:lineRule="auto"/>
      <w:ind w:left="70" w:firstLine="80"/>
      <w:outlineLvl w:val="1"/>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XpVjgbfgHUz35GOr6/HOhVHsg==">CgMxLjAyCGguZ2pkZ3hzOAByITF6Z19rMjNVLWg0Q1Z3dFFfdHY5ajRHMTBJOFlvMWszSw==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2024-07-02T04:54:00Z</dcterms:created>
  <dcterms:modified xsi:type="dcterms:W3CDTF">2024-07-04T03:51:00Z</dcterms:modified>
</cp:coreProperties>
</file>