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7686A1" w14:textId="77777777" w:rsidR="005E5AA5" w:rsidRPr="00D97ED5" w:rsidRDefault="00C153A8" w:rsidP="007509CE">
      <w:pPr>
        <w:pBdr>
          <w:top w:val="nil"/>
          <w:left w:val="nil"/>
          <w:bottom w:val="nil"/>
          <w:right w:val="nil"/>
          <w:between w:val="nil"/>
        </w:pBdr>
        <w:tabs>
          <w:tab w:val="left" w:pos="284"/>
        </w:tabs>
        <w:spacing w:after="120" w:line="360" w:lineRule="auto"/>
        <w:jc w:val="both"/>
        <w:rPr>
          <w:rFonts w:ascii="Arial" w:eastAsia="Arial" w:hAnsi="Arial" w:cs="Arial"/>
          <w:b/>
          <w:color w:val="010000"/>
          <w:sz w:val="20"/>
          <w:szCs w:val="20"/>
        </w:rPr>
      </w:pPr>
      <w:r w:rsidRPr="00D97ED5">
        <w:rPr>
          <w:rFonts w:ascii="Arial" w:hAnsi="Arial" w:cs="Arial"/>
          <w:b/>
          <w:color w:val="010000"/>
          <w:sz w:val="20"/>
          <w:szCs w:val="20"/>
        </w:rPr>
        <w:t>SPC: Annual General Mandate 2024</w:t>
      </w:r>
    </w:p>
    <w:p w14:paraId="1717802B" w14:textId="77777777" w:rsidR="005E5AA5" w:rsidRPr="00D97ED5" w:rsidRDefault="00C153A8" w:rsidP="007509CE">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D97ED5">
        <w:rPr>
          <w:rFonts w:ascii="Arial" w:hAnsi="Arial" w:cs="Arial"/>
          <w:color w:val="010000"/>
          <w:sz w:val="20"/>
          <w:szCs w:val="20"/>
        </w:rPr>
        <w:t>On June 28, 2024, Saigon Plant Protection Joint Stock Company announced General Mandate No. 16/NQ-DHDCD as follows:</w:t>
      </w:r>
    </w:p>
    <w:p w14:paraId="7B9CB581" w14:textId="77777777" w:rsidR="005E5AA5" w:rsidRPr="00D97ED5" w:rsidRDefault="00C153A8" w:rsidP="007509CE">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D97ED5">
        <w:rPr>
          <w:rFonts w:ascii="Arial" w:hAnsi="Arial" w:cs="Arial"/>
          <w:color w:val="010000"/>
          <w:sz w:val="20"/>
          <w:szCs w:val="20"/>
        </w:rPr>
        <w:t>‎‎Article 1. Production and business result activities in 2023 and development plan in 2024</w:t>
      </w:r>
    </w:p>
    <w:p w14:paraId="45EC056E" w14:textId="77777777" w:rsidR="005E5AA5" w:rsidRPr="00D97ED5" w:rsidRDefault="00C153A8" w:rsidP="007509CE">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D97ED5">
        <w:rPr>
          <w:rFonts w:ascii="Arial" w:hAnsi="Arial" w:cs="Arial"/>
          <w:color w:val="010000"/>
          <w:sz w:val="20"/>
          <w:szCs w:val="20"/>
        </w:rPr>
        <w:t>The Meeting unanimously approved the report o</w:t>
      </w:r>
      <w:bookmarkStart w:id="0" w:name="_GoBack"/>
      <w:bookmarkEnd w:id="0"/>
      <w:r w:rsidRPr="00D97ED5">
        <w:rPr>
          <w:rFonts w:ascii="Arial" w:hAnsi="Arial" w:cs="Arial"/>
          <w:color w:val="010000"/>
          <w:sz w:val="20"/>
          <w:szCs w:val="20"/>
        </w:rPr>
        <w:t>n the activities of the Board of Directors and the Executive Board of the company as follows:</w:t>
      </w:r>
    </w:p>
    <w:p w14:paraId="0A9938A3" w14:textId="77777777" w:rsidR="005E5AA5" w:rsidRPr="00D97ED5" w:rsidRDefault="00C153A8" w:rsidP="007509CE">
      <w:pPr>
        <w:numPr>
          <w:ilvl w:val="0"/>
          <w:numId w:val="4"/>
        </w:numPr>
        <w:pBdr>
          <w:top w:val="nil"/>
          <w:left w:val="nil"/>
          <w:bottom w:val="nil"/>
          <w:right w:val="nil"/>
          <w:between w:val="nil"/>
        </w:pBdr>
        <w:tabs>
          <w:tab w:val="left" w:pos="284"/>
        </w:tabs>
        <w:spacing w:after="120" w:line="360" w:lineRule="auto"/>
        <w:ind w:left="0" w:firstLine="0"/>
        <w:jc w:val="both"/>
        <w:rPr>
          <w:rFonts w:ascii="Arial" w:eastAsia="Arial" w:hAnsi="Arial" w:cs="Arial"/>
          <w:color w:val="010000"/>
          <w:sz w:val="20"/>
          <w:szCs w:val="20"/>
        </w:rPr>
      </w:pPr>
      <w:bookmarkStart w:id="1" w:name="_heading=h.gjdgxs"/>
      <w:bookmarkEnd w:id="1"/>
      <w:r w:rsidRPr="00D97ED5">
        <w:rPr>
          <w:rFonts w:ascii="Arial" w:hAnsi="Arial" w:cs="Arial"/>
          <w:color w:val="010000"/>
          <w:sz w:val="20"/>
          <w:szCs w:val="20"/>
        </w:rPr>
        <w:t>Production and business results in 2023 (according to consolidated report):</w:t>
      </w:r>
    </w:p>
    <w:tbl>
      <w:tblPr>
        <w:tblStyle w:val="a"/>
        <w:tblW w:w="9017" w:type="dxa"/>
        <w:tblLayout w:type="fixed"/>
        <w:tblLook w:val="0000" w:firstRow="0" w:lastRow="0" w:firstColumn="0" w:lastColumn="0" w:noHBand="0" w:noVBand="0"/>
      </w:tblPr>
      <w:tblGrid>
        <w:gridCol w:w="620"/>
        <w:gridCol w:w="2209"/>
        <w:gridCol w:w="819"/>
        <w:gridCol w:w="1459"/>
        <w:gridCol w:w="1398"/>
        <w:gridCol w:w="1536"/>
        <w:gridCol w:w="976"/>
      </w:tblGrid>
      <w:tr w:rsidR="005E5AA5" w:rsidRPr="00D97ED5" w14:paraId="161A0707" w14:textId="77777777">
        <w:tc>
          <w:tcPr>
            <w:tcW w:w="620" w:type="dxa"/>
            <w:vMerge w:val="restart"/>
            <w:tcBorders>
              <w:top w:val="single" w:sz="4" w:space="0" w:color="000000"/>
              <w:left w:val="single" w:sz="4" w:space="0" w:color="000000"/>
            </w:tcBorders>
            <w:shd w:val="clear" w:color="auto" w:fill="auto"/>
            <w:tcMar>
              <w:top w:w="0" w:type="dxa"/>
              <w:bottom w:w="0" w:type="dxa"/>
            </w:tcMar>
            <w:vAlign w:val="center"/>
          </w:tcPr>
          <w:p w14:paraId="331E795E" w14:textId="77777777" w:rsidR="005E5AA5" w:rsidRPr="00D97ED5" w:rsidRDefault="00C153A8" w:rsidP="007509CE">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D97ED5">
              <w:rPr>
                <w:rFonts w:ascii="Arial" w:hAnsi="Arial" w:cs="Arial"/>
                <w:color w:val="010000"/>
                <w:sz w:val="20"/>
                <w:szCs w:val="20"/>
              </w:rPr>
              <w:t>No.</w:t>
            </w:r>
          </w:p>
        </w:tc>
        <w:tc>
          <w:tcPr>
            <w:tcW w:w="2209" w:type="dxa"/>
            <w:vMerge w:val="restart"/>
            <w:tcBorders>
              <w:top w:val="single" w:sz="4" w:space="0" w:color="000000"/>
              <w:left w:val="single" w:sz="4" w:space="0" w:color="000000"/>
            </w:tcBorders>
            <w:shd w:val="clear" w:color="auto" w:fill="auto"/>
            <w:tcMar>
              <w:top w:w="0" w:type="dxa"/>
              <w:bottom w:w="0" w:type="dxa"/>
            </w:tcMar>
            <w:vAlign w:val="center"/>
          </w:tcPr>
          <w:p w14:paraId="3322CECF" w14:textId="77777777" w:rsidR="005E5AA5" w:rsidRPr="00D97ED5" w:rsidRDefault="00C153A8" w:rsidP="007509CE">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D97ED5">
              <w:rPr>
                <w:rFonts w:ascii="Arial" w:hAnsi="Arial" w:cs="Arial"/>
                <w:color w:val="010000"/>
                <w:sz w:val="20"/>
                <w:szCs w:val="20"/>
              </w:rPr>
              <w:t>Target</w:t>
            </w:r>
          </w:p>
        </w:tc>
        <w:tc>
          <w:tcPr>
            <w:tcW w:w="819" w:type="dxa"/>
            <w:vMerge w:val="restart"/>
            <w:tcBorders>
              <w:top w:val="single" w:sz="4" w:space="0" w:color="000000"/>
              <w:left w:val="single" w:sz="4" w:space="0" w:color="000000"/>
            </w:tcBorders>
            <w:shd w:val="clear" w:color="auto" w:fill="auto"/>
            <w:tcMar>
              <w:top w:w="0" w:type="dxa"/>
              <w:bottom w:w="0" w:type="dxa"/>
            </w:tcMar>
            <w:vAlign w:val="center"/>
          </w:tcPr>
          <w:p w14:paraId="5964B5DC" w14:textId="77777777" w:rsidR="005E5AA5" w:rsidRPr="00D97ED5" w:rsidRDefault="00C153A8" w:rsidP="007509CE">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D97ED5">
              <w:rPr>
                <w:rFonts w:ascii="Arial" w:hAnsi="Arial" w:cs="Arial"/>
                <w:color w:val="010000"/>
                <w:sz w:val="20"/>
                <w:szCs w:val="20"/>
              </w:rPr>
              <w:t>Unit</w:t>
            </w:r>
          </w:p>
        </w:tc>
        <w:tc>
          <w:tcPr>
            <w:tcW w:w="1459" w:type="dxa"/>
            <w:vMerge w:val="restart"/>
            <w:tcBorders>
              <w:top w:val="single" w:sz="4" w:space="0" w:color="000000"/>
              <w:left w:val="single" w:sz="4" w:space="0" w:color="000000"/>
            </w:tcBorders>
            <w:shd w:val="clear" w:color="auto" w:fill="auto"/>
            <w:tcMar>
              <w:top w:w="0" w:type="dxa"/>
              <w:bottom w:w="0" w:type="dxa"/>
            </w:tcMar>
            <w:vAlign w:val="center"/>
          </w:tcPr>
          <w:p w14:paraId="07A1B0E3" w14:textId="77777777" w:rsidR="005E5AA5" w:rsidRPr="00D97ED5" w:rsidRDefault="00C153A8" w:rsidP="007509CE">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D97ED5">
              <w:rPr>
                <w:rFonts w:ascii="Arial" w:hAnsi="Arial" w:cs="Arial"/>
                <w:color w:val="010000"/>
                <w:sz w:val="20"/>
                <w:szCs w:val="20"/>
              </w:rPr>
              <w:t>Results in 2022</w:t>
            </w:r>
          </w:p>
        </w:tc>
        <w:tc>
          <w:tcPr>
            <w:tcW w:w="3910" w:type="dxa"/>
            <w:gridSpan w:val="3"/>
            <w:tcBorders>
              <w:top w:val="single" w:sz="4" w:space="0" w:color="000000"/>
              <w:left w:val="single" w:sz="4" w:space="0" w:color="000000"/>
              <w:right w:val="single" w:sz="4" w:space="0" w:color="000000"/>
            </w:tcBorders>
            <w:shd w:val="clear" w:color="auto" w:fill="auto"/>
            <w:tcMar>
              <w:top w:w="0" w:type="dxa"/>
              <w:bottom w:w="0" w:type="dxa"/>
            </w:tcMar>
            <w:vAlign w:val="center"/>
          </w:tcPr>
          <w:p w14:paraId="610BA085" w14:textId="77777777" w:rsidR="005E5AA5" w:rsidRPr="00D97ED5" w:rsidRDefault="00C153A8" w:rsidP="007509CE">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D97ED5">
              <w:rPr>
                <w:rFonts w:ascii="Arial" w:hAnsi="Arial" w:cs="Arial"/>
                <w:color w:val="010000"/>
                <w:sz w:val="20"/>
                <w:szCs w:val="20"/>
              </w:rPr>
              <w:t>2023</w:t>
            </w:r>
          </w:p>
        </w:tc>
      </w:tr>
      <w:tr w:rsidR="005E5AA5" w:rsidRPr="00D97ED5" w14:paraId="0B29242E" w14:textId="77777777">
        <w:tc>
          <w:tcPr>
            <w:tcW w:w="620" w:type="dxa"/>
            <w:vMerge/>
            <w:tcBorders>
              <w:top w:val="single" w:sz="4" w:space="0" w:color="000000"/>
              <w:left w:val="single" w:sz="4" w:space="0" w:color="000000"/>
            </w:tcBorders>
            <w:shd w:val="clear" w:color="auto" w:fill="auto"/>
            <w:tcMar>
              <w:top w:w="0" w:type="dxa"/>
              <w:bottom w:w="0" w:type="dxa"/>
            </w:tcMar>
            <w:vAlign w:val="center"/>
          </w:tcPr>
          <w:p w14:paraId="7F8C62EB" w14:textId="77777777" w:rsidR="005E5AA5" w:rsidRPr="00D97ED5" w:rsidRDefault="005E5AA5" w:rsidP="007509CE">
            <w:pPr>
              <w:pBdr>
                <w:top w:val="nil"/>
                <w:left w:val="nil"/>
                <w:bottom w:val="nil"/>
                <w:right w:val="nil"/>
                <w:between w:val="nil"/>
              </w:pBdr>
              <w:spacing w:line="276" w:lineRule="auto"/>
              <w:jc w:val="both"/>
              <w:rPr>
                <w:rFonts w:ascii="Arial" w:eastAsia="Arial" w:hAnsi="Arial" w:cs="Arial"/>
                <w:color w:val="010000"/>
                <w:sz w:val="20"/>
                <w:szCs w:val="20"/>
              </w:rPr>
            </w:pPr>
          </w:p>
        </w:tc>
        <w:tc>
          <w:tcPr>
            <w:tcW w:w="2209" w:type="dxa"/>
            <w:vMerge/>
            <w:tcBorders>
              <w:top w:val="single" w:sz="4" w:space="0" w:color="000000"/>
              <w:left w:val="single" w:sz="4" w:space="0" w:color="000000"/>
            </w:tcBorders>
            <w:shd w:val="clear" w:color="auto" w:fill="auto"/>
            <w:tcMar>
              <w:top w:w="0" w:type="dxa"/>
              <w:bottom w:w="0" w:type="dxa"/>
            </w:tcMar>
            <w:vAlign w:val="center"/>
          </w:tcPr>
          <w:p w14:paraId="47BBC73C" w14:textId="77777777" w:rsidR="005E5AA5" w:rsidRPr="00D97ED5" w:rsidRDefault="005E5AA5" w:rsidP="007509CE">
            <w:pPr>
              <w:pBdr>
                <w:top w:val="nil"/>
                <w:left w:val="nil"/>
                <w:bottom w:val="nil"/>
                <w:right w:val="nil"/>
                <w:between w:val="nil"/>
              </w:pBdr>
              <w:spacing w:line="276" w:lineRule="auto"/>
              <w:jc w:val="both"/>
              <w:rPr>
                <w:rFonts w:ascii="Arial" w:eastAsia="Arial" w:hAnsi="Arial" w:cs="Arial"/>
                <w:color w:val="010000"/>
                <w:sz w:val="20"/>
                <w:szCs w:val="20"/>
              </w:rPr>
            </w:pPr>
          </w:p>
        </w:tc>
        <w:tc>
          <w:tcPr>
            <w:tcW w:w="819" w:type="dxa"/>
            <w:vMerge/>
            <w:tcBorders>
              <w:top w:val="single" w:sz="4" w:space="0" w:color="000000"/>
              <w:left w:val="single" w:sz="4" w:space="0" w:color="000000"/>
            </w:tcBorders>
            <w:shd w:val="clear" w:color="auto" w:fill="auto"/>
            <w:tcMar>
              <w:top w:w="0" w:type="dxa"/>
              <w:bottom w:w="0" w:type="dxa"/>
            </w:tcMar>
            <w:vAlign w:val="center"/>
          </w:tcPr>
          <w:p w14:paraId="09D71800" w14:textId="77777777" w:rsidR="005E5AA5" w:rsidRPr="00D97ED5" w:rsidRDefault="005E5AA5" w:rsidP="007509CE">
            <w:pPr>
              <w:pBdr>
                <w:top w:val="nil"/>
                <w:left w:val="nil"/>
                <w:bottom w:val="nil"/>
                <w:right w:val="nil"/>
                <w:between w:val="nil"/>
              </w:pBdr>
              <w:spacing w:line="276" w:lineRule="auto"/>
              <w:jc w:val="both"/>
              <w:rPr>
                <w:rFonts w:ascii="Arial" w:eastAsia="Arial" w:hAnsi="Arial" w:cs="Arial"/>
                <w:color w:val="010000"/>
                <w:sz w:val="20"/>
                <w:szCs w:val="20"/>
              </w:rPr>
            </w:pPr>
          </w:p>
        </w:tc>
        <w:tc>
          <w:tcPr>
            <w:tcW w:w="1459" w:type="dxa"/>
            <w:vMerge/>
            <w:tcBorders>
              <w:top w:val="single" w:sz="4" w:space="0" w:color="000000"/>
              <w:left w:val="single" w:sz="4" w:space="0" w:color="000000"/>
            </w:tcBorders>
            <w:shd w:val="clear" w:color="auto" w:fill="auto"/>
            <w:tcMar>
              <w:top w:w="0" w:type="dxa"/>
              <w:bottom w:w="0" w:type="dxa"/>
            </w:tcMar>
            <w:vAlign w:val="center"/>
          </w:tcPr>
          <w:p w14:paraId="1BC06B41" w14:textId="77777777" w:rsidR="005E5AA5" w:rsidRPr="00D97ED5" w:rsidRDefault="005E5AA5" w:rsidP="007509CE">
            <w:pPr>
              <w:pBdr>
                <w:top w:val="nil"/>
                <w:left w:val="nil"/>
                <w:bottom w:val="nil"/>
                <w:right w:val="nil"/>
                <w:between w:val="nil"/>
              </w:pBdr>
              <w:spacing w:line="276" w:lineRule="auto"/>
              <w:jc w:val="both"/>
              <w:rPr>
                <w:rFonts w:ascii="Arial" w:eastAsia="Arial" w:hAnsi="Arial" w:cs="Arial"/>
                <w:color w:val="010000"/>
                <w:sz w:val="20"/>
                <w:szCs w:val="20"/>
              </w:rPr>
            </w:pPr>
          </w:p>
        </w:tc>
        <w:tc>
          <w:tcPr>
            <w:tcW w:w="1398" w:type="dxa"/>
            <w:tcBorders>
              <w:top w:val="single" w:sz="4" w:space="0" w:color="000000"/>
              <w:left w:val="single" w:sz="4" w:space="0" w:color="000000"/>
            </w:tcBorders>
            <w:shd w:val="clear" w:color="auto" w:fill="auto"/>
            <w:tcMar>
              <w:top w:w="0" w:type="dxa"/>
              <w:bottom w:w="0" w:type="dxa"/>
            </w:tcMar>
            <w:vAlign w:val="center"/>
          </w:tcPr>
          <w:p w14:paraId="3FDF5961" w14:textId="77777777" w:rsidR="005E5AA5" w:rsidRPr="00D97ED5" w:rsidRDefault="00C153A8" w:rsidP="007509CE">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D97ED5">
              <w:rPr>
                <w:rFonts w:ascii="Arial" w:hAnsi="Arial" w:cs="Arial"/>
                <w:color w:val="010000"/>
                <w:sz w:val="20"/>
                <w:szCs w:val="20"/>
              </w:rPr>
              <w:t>Plan 2023</w:t>
            </w:r>
          </w:p>
        </w:tc>
        <w:tc>
          <w:tcPr>
            <w:tcW w:w="1536" w:type="dxa"/>
            <w:tcBorders>
              <w:top w:val="single" w:sz="4" w:space="0" w:color="000000"/>
              <w:left w:val="single" w:sz="4" w:space="0" w:color="000000"/>
            </w:tcBorders>
            <w:shd w:val="clear" w:color="auto" w:fill="auto"/>
            <w:tcMar>
              <w:top w:w="0" w:type="dxa"/>
              <w:bottom w:w="0" w:type="dxa"/>
            </w:tcMar>
            <w:vAlign w:val="center"/>
          </w:tcPr>
          <w:p w14:paraId="7674C3FD" w14:textId="77777777" w:rsidR="005E5AA5" w:rsidRPr="00D97ED5" w:rsidRDefault="00C153A8" w:rsidP="007509CE">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D97ED5">
              <w:rPr>
                <w:rFonts w:ascii="Arial" w:hAnsi="Arial" w:cs="Arial"/>
                <w:color w:val="010000"/>
                <w:sz w:val="20"/>
                <w:szCs w:val="20"/>
              </w:rPr>
              <w:t>Results in 2023</w:t>
            </w:r>
          </w:p>
        </w:tc>
        <w:tc>
          <w:tcPr>
            <w:tcW w:w="976"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788FB45F" w14:textId="77777777" w:rsidR="005E5AA5" w:rsidRPr="00D97ED5" w:rsidRDefault="00C153A8" w:rsidP="007509CE">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D97ED5">
              <w:rPr>
                <w:rFonts w:ascii="Arial" w:hAnsi="Arial" w:cs="Arial"/>
                <w:color w:val="010000"/>
                <w:sz w:val="20"/>
                <w:szCs w:val="20"/>
              </w:rPr>
              <w:t>%</w:t>
            </w:r>
          </w:p>
          <w:p w14:paraId="3C079D45" w14:textId="77777777" w:rsidR="005E5AA5" w:rsidRPr="00D97ED5" w:rsidRDefault="00C153A8" w:rsidP="007509CE">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D97ED5">
              <w:rPr>
                <w:rFonts w:ascii="Arial" w:hAnsi="Arial" w:cs="Arial"/>
                <w:color w:val="010000"/>
                <w:sz w:val="20"/>
                <w:szCs w:val="20"/>
              </w:rPr>
              <w:t>Results/Plan</w:t>
            </w:r>
          </w:p>
        </w:tc>
      </w:tr>
      <w:tr w:rsidR="005E5AA5" w:rsidRPr="00D97ED5" w14:paraId="5C3F9DF5" w14:textId="77777777">
        <w:tc>
          <w:tcPr>
            <w:tcW w:w="620" w:type="dxa"/>
            <w:tcBorders>
              <w:top w:val="single" w:sz="4" w:space="0" w:color="000000"/>
              <w:left w:val="single" w:sz="4" w:space="0" w:color="000000"/>
            </w:tcBorders>
            <w:shd w:val="clear" w:color="auto" w:fill="auto"/>
            <w:tcMar>
              <w:top w:w="0" w:type="dxa"/>
              <w:bottom w:w="0" w:type="dxa"/>
            </w:tcMar>
            <w:vAlign w:val="center"/>
          </w:tcPr>
          <w:p w14:paraId="445DB075" w14:textId="77777777" w:rsidR="005E5AA5" w:rsidRPr="00D97ED5" w:rsidRDefault="00C153A8" w:rsidP="007509CE">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D97ED5">
              <w:rPr>
                <w:rFonts w:ascii="Arial" w:hAnsi="Arial" w:cs="Arial"/>
                <w:color w:val="010000"/>
                <w:sz w:val="20"/>
                <w:szCs w:val="20"/>
              </w:rPr>
              <w:t>1</w:t>
            </w:r>
          </w:p>
        </w:tc>
        <w:tc>
          <w:tcPr>
            <w:tcW w:w="2209" w:type="dxa"/>
            <w:tcBorders>
              <w:top w:val="single" w:sz="4" w:space="0" w:color="000000"/>
              <w:left w:val="single" w:sz="4" w:space="0" w:color="000000"/>
            </w:tcBorders>
            <w:shd w:val="clear" w:color="auto" w:fill="auto"/>
            <w:tcMar>
              <w:top w:w="0" w:type="dxa"/>
              <w:bottom w:w="0" w:type="dxa"/>
            </w:tcMar>
            <w:vAlign w:val="center"/>
          </w:tcPr>
          <w:p w14:paraId="594757BD" w14:textId="77777777" w:rsidR="005E5AA5" w:rsidRPr="00D97ED5" w:rsidRDefault="00C153A8" w:rsidP="007509CE">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D97ED5">
              <w:rPr>
                <w:rFonts w:ascii="Arial" w:hAnsi="Arial" w:cs="Arial"/>
                <w:color w:val="010000"/>
                <w:sz w:val="20"/>
                <w:szCs w:val="20"/>
              </w:rPr>
              <w:t>Production value</w:t>
            </w:r>
          </w:p>
        </w:tc>
        <w:tc>
          <w:tcPr>
            <w:tcW w:w="819" w:type="dxa"/>
            <w:tcBorders>
              <w:top w:val="single" w:sz="4" w:space="0" w:color="000000"/>
              <w:left w:val="single" w:sz="4" w:space="0" w:color="000000"/>
            </w:tcBorders>
            <w:shd w:val="clear" w:color="auto" w:fill="auto"/>
            <w:tcMar>
              <w:top w:w="0" w:type="dxa"/>
              <w:bottom w:w="0" w:type="dxa"/>
            </w:tcMar>
            <w:vAlign w:val="center"/>
          </w:tcPr>
          <w:p w14:paraId="20FDC255" w14:textId="3D01CA95" w:rsidR="005E5AA5" w:rsidRPr="00D97ED5" w:rsidRDefault="00F5650D" w:rsidP="007509CE">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D97ED5">
              <w:rPr>
                <w:rFonts w:ascii="Arial" w:hAnsi="Arial" w:cs="Arial"/>
                <w:color w:val="010000"/>
                <w:sz w:val="20"/>
                <w:szCs w:val="20"/>
              </w:rPr>
              <w:t>Thousand VND</w:t>
            </w:r>
          </w:p>
        </w:tc>
        <w:tc>
          <w:tcPr>
            <w:tcW w:w="1459" w:type="dxa"/>
            <w:tcBorders>
              <w:top w:val="single" w:sz="4" w:space="0" w:color="000000"/>
              <w:left w:val="single" w:sz="4" w:space="0" w:color="000000"/>
            </w:tcBorders>
            <w:shd w:val="clear" w:color="auto" w:fill="auto"/>
            <w:tcMar>
              <w:top w:w="0" w:type="dxa"/>
              <w:bottom w:w="0" w:type="dxa"/>
            </w:tcMar>
            <w:vAlign w:val="center"/>
          </w:tcPr>
          <w:p w14:paraId="4214F418" w14:textId="77777777" w:rsidR="005E5AA5" w:rsidRPr="00D97ED5" w:rsidRDefault="00C153A8" w:rsidP="007509CE">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D97ED5">
              <w:rPr>
                <w:rFonts w:ascii="Arial" w:hAnsi="Arial" w:cs="Arial"/>
                <w:color w:val="010000"/>
                <w:sz w:val="20"/>
                <w:szCs w:val="20"/>
              </w:rPr>
              <w:t>446,475,433</w:t>
            </w:r>
          </w:p>
        </w:tc>
        <w:tc>
          <w:tcPr>
            <w:tcW w:w="1398" w:type="dxa"/>
            <w:tcBorders>
              <w:top w:val="single" w:sz="4" w:space="0" w:color="000000"/>
              <w:left w:val="single" w:sz="4" w:space="0" w:color="000000"/>
            </w:tcBorders>
            <w:shd w:val="clear" w:color="auto" w:fill="auto"/>
            <w:tcMar>
              <w:top w:w="0" w:type="dxa"/>
              <w:bottom w:w="0" w:type="dxa"/>
            </w:tcMar>
            <w:vAlign w:val="center"/>
          </w:tcPr>
          <w:p w14:paraId="38E525EB" w14:textId="77777777" w:rsidR="005E5AA5" w:rsidRPr="00D97ED5" w:rsidRDefault="00C153A8" w:rsidP="007509CE">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D97ED5">
              <w:rPr>
                <w:rFonts w:ascii="Arial" w:hAnsi="Arial" w:cs="Arial"/>
                <w:color w:val="010000"/>
                <w:sz w:val="20"/>
                <w:szCs w:val="20"/>
              </w:rPr>
              <w:t>708,691,164</w:t>
            </w:r>
          </w:p>
        </w:tc>
        <w:tc>
          <w:tcPr>
            <w:tcW w:w="1536" w:type="dxa"/>
            <w:tcBorders>
              <w:top w:val="single" w:sz="4" w:space="0" w:color="000000"/>
              <w:left w:val="single" w:sz="4" w:space="0" w:color="000000"/>
            </w:tcBorders>
            <w:shd w:val="clear" w:color="auto" w:fill="auto"/>
            <w:tcMar>
              <w:top w:w="0" w:type="dxa"/>
              <w:bottom w:w="0" w:type="dxa"/>
            </w:tcMar>
            <w:vAlign w:val="center"/>
          </w:tcPr>
          <w:p w14:paraId="49EC831C" w14:textId="77777777" w:rsidR="005E5AA5" w:rsidRPr="00D97ED5" w:rsidRDefault="00C153A8" w:rsidP="007509CE">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D97ED5">
              <w:rPr>
                <w:rFonts w:ascii="Arial" w:hAnsi="Arial" w:cs="Arial"/>
                <w:color w:val="010000"/>
                <w:sz w:val="20"/>
                <w:szCs w:val="20"/>
              </w:rPr>
              <w:t>410,820,042</w:t>
            </w:r>
          </w:p>
        </w:tc>
        <w:tc>
          <w:tcPr>
            <w:tcW w:w="976"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116EA1BE" w14:textId="77777777" w:rsidR="005E5AA5" w:rsidRPr="00D97ED5" w:rsidRDefault="00C153A8" w:rsidP="007509CE">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D97ED5">
              <w:rPr>
                <w:rFonts w:ascii="Arial" w:hAnsi="Arial" w:cs="Arial"/>
                <w:color w:val="010000"/>
                <w:sz w:val="20"/>
                <w:szCs w:val="20"/>
              </w:rPr>
              <w:t>58%</w:t>
            </w:r>
          </w:p>
        </w:tc>
      </w:tr>
      <w:tr w:rsidR="005E5AA5" w:rsidRPr="00D97ED5" w14:paraId="706F5D3E" w14:textId="77777777">
        <w:tc>
          <w:tcPr>
            <w:tcW w:w="620" w:type="dxa"/>
            <w:tcBorders>
              <w:top w:val="single" w:sz="4" w:space="0" w:color="000000"/>
              <w:left w:val="single" w:sz="4" w:space="0" w:color="000000"/>
            </w:tcBorders>
            <w:shd w:val="clear" w:color="auto" w:fill="auto"/>
            <w:tcMar>
              <w:top w:w="0" w:type="dxa"/>
              <w:bottom w:w="0" w:type="dxa"/>
            </w:tcMar>
            <w:vAlign w:val="center"/>
          </w:tcPr>
          <w:p w14:paraId="0F9BB917" w14:textId="77777777" w:rsidR="005E5AA5" w:rsidRPr="00D97ED5" w:rsidRDefault="00C153A8" w:rsidP="007509CE">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D97ED5">
              <w:rPr>
                <w:rFonts w:ascii="Arial" w:hAnsi="Arial" w:cs="Arial"/>
                <w:color w:val="010000"/>
                <w:sz w:val="20"/>
                <w:szCs w:val="20"/>
              </w:rPr>
              <w:t>2</w:t>
            </w:r>
          </w:p>
        </w:tc>
        <w:tc>
          <w:tcPr>
            <w:tcW w:w="2209" w:type="dxa"/>
            <w:tcBorders>
              <w:top w:val="single" w:sz="4" w:space="0" w:color="000000"/>
              <w:left w:val="single" w:sz="4" w:space="0" w:color="000000"/>
            </w:tcBorders>
            <w:shd w:val="clear" w:color="auto" w:fill="auto"/>
            <w:tcMar>
              <w:top w:w="0" w:type="dxa"/>
              <w:bottom w:w="0" w:type="dxa"/>
            </w:tcMar>
            <w:vAlign w:val="center"/>
          </w:tcPr>
          <w:p w14:paraId="64186F36" w14:textId="77777777" w:rsidR="005E5AA5" w:rsidRPr="00D97ED5" w:rsidRDefault="00C153A8" w:rsidP="007509CE">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D97ED5">
              <w:rPr>
                <w:rFonts w:ascii="Arial" w:hAnsi="Arial" w:cs="Arial"/>
                <w:color w:val="010000"/>
                <w:sz w:val="20"/>
                <w:szCs w:val="20"/>
              </w:rPr>
              <w:t>Output</w:t>
            </w:r>
          </w:p>
        </w:tc>
        <w:tc>
          <w:tcPr>
            <w:tcW w:w="819" w:type="dxa"/>
            <w:tcBorders>
              <w:top w:val="single" w:sz="4" w:space="0" w:color="000000"/>
              <w:left w:val="single" w:sz="4" w:space="0" w:color="000000"/>
            </w:tcBorders>
            <w:shd w:val="clear" w:color="auto" w:fill="auto"/>
            <w:tcMar>
              <w:top w:w="0" w:type="dxa"/>
              <w:bottom w:w="0" w:type="dxa"/>
            </w:tcMar>
            <w:vAlign w:val="center"/>
          </w:tcPr>
          <w:p w14:paraId="186F4BE0" w14:textId="77777777" w:rsidR="005E5AA5" w:rsidRPr="00D97ED5" w:rsidRDefault="00C153A8" w:rsidP="007509CE">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D97ED5">
              <w:rPr>
                <w:rFonts w:ascii="Arial" w:hAnsi="Arial" w:cs="Arial"/>
                <w:color w:val="010000"/>
                <w:sz w:val="20"/>
                <w:szCs w:val="20"/>
              </w:rPr>
              <w:t>Tons</w:t>
            </w:r>
          </w:p>
        </w:tc>
        <w:tc>
          <w:tcPr>
            <w:tcW w:w="1459" w:type="dxa"/>
            <w:tcBorders>
              <w:top w:val="single" w:sz="4" w:space="0" w:color="000000"/>
              <w:left w:val="single" w:sz="4" w:space="0" w:color="000000"/>
            </w:tcBorders>
            <w:shd w:val="clear" w:color="auto" w:fill="auto"/>
            <w:tcMar>
              <w:top w:w="0" w:type="dxa"/>
              <w:bottom w:w="0" w:type="dxa"/>
            </w:tcMar>
            <w:vAlign w:val="center"/>
          </w:tcPr>
          <w:p w14:paraId="00BEA160" w14:textId="77777777" w:rsidR="005E5AA5" w:rsidRPr="00D97ED5" w:rsidRDefault="00C153A8" w:rsidP="007509CE">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D97ED5">
              <w:rPr>
                <w:rFonts w:ascii="Arial" w:hAnsi="Arial" w:cs="Arial"/>
                <w:color w:val="010000"/>
                <w:sz w:val="20"/>
                <w:szCs w:val="20"/>
              </w:rPr>
              <w:t>4,161</w:t>
            </w:r>
          </w:p>
        </w:tc>
        <w:tc>
          <w:tcPr>
            <w:tcW w:w="1398" w:type="dxa"/>
            <w:tcBorders>
              <w:top w:val="single" w:sz="4" w:space="0" w:color="000000"/>
              <w:left w:val="single" w:sz="4" w:space="0" w:color="000000"/>
            </w:tcBorders>
            <w:shd w:val="clear" w:color="auto" w:fill="auto"/>
            <w:tcMar>
              <w:top w:w="0" w:type="dxa"/>
              <w:bottom w:w="0" w:type="dxa"/>
            </w:tcMar>
            <w:vAlign w:val="center"/>
          </w:tcPr>
          <w:p w14:paraId="2C41A0EA" w14:textId="77777777" w:rsidR="005E5AA5" w:rsidRPr="00D97ED5" w:rsidRDefault="00C153A8" w:rsidP="007509CE">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D97ED5">
              <w:rPr>
                <w:rFonts w:ascii="Arial" w:hAnsi="Arial" w:cs="Arial"/>
                <w:color w:val="010000"/>
                <w:sz w:val="20"/>
                <w:szCs w:val="20"/>
              </w:rPr>
              <w:t>6,606</w:t>
            </w:r>
          </w:p>
        </w:tc>
        <w:tc>
          <w:tcPr>
            <w:tcW w:w="1536" w:type="dxa"/>
            <w:tcBorders>
              <w:top w:val="single" w:sz="4" w:space="0" w:color="000000"/>
              <w:left w:val="single" w:sz="4" w:space="0" w:color="000000"/>
            </w:tcBorders>
            <w:shd w:val="clear" w:color="auto" w:fill="auto"/>
            <w:tcMar>
              <w:top w:w="0" w:type="dxa"/>
              <w:bottom w:w="0" w:type="dxa"/>
            </w:tcMar>
            <w:vAlign w:val="center"/>
          </w:tcPr>
          <w:p w14:paraId="6CC6FDF5" w14:textId="77777777" w:rsidR="005E5AA5" w:rsidRPr="00D97ED5" w:rsidRDefault="00C153A8" w:rsidP="007509CE">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D97ED5">
              <w:rPr>
                <w:rFonts w:ascii="Arial" w:hAnsi="Arial" w:cs="Arial"/>
                <w:color w:val="010000"/>
                <w:sz w:val="20"/>
                <w:szCs w:val="20"/>
              </w:rPr>
              <w:t>4,529</w:t>
            </w:r>
          </w:p>
        </w:tc>
        <w:tc>
          <w:tcPr>
            <w:tcW w:w="976"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29099A40" w14:textId="77777777" w:rsidR="005E5AA5" w:rsidRPr="00D97ED5" w:rsidRDefault="00C153A8" w:rsidP="007509CE">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D97ED5">
              <w:rPr>
                <w:rFonts w:ascii="Arial" w:hAnsi="Arial" w:cs="Arial"/>
                <w:color w:val="010000"/>
                <w:sz w:val="20"/>
                <w:szCs w:val="20"/>
              </w:rPr>
              <w:t>69%</w:t>
            </w:r>
          </w:p>
        </w:tc>
      </w:tr>
      <w:tr w:rsidR="00F5650D" w:rsidRPr="00D97ED5" w14:paraId="37CABCA4" w14:textId="77777777" w:rsidTr="00501EB8">
        <w:tc>
          <w:tcPr>
            <w:tcW w:w="620" w:type="dxa"/>
            <w:tcBorders>
              <w:top w:val="single" w:sz="4" w:space="0" w:color="000000"/>
              <w:left w:val="single" w:sz="4" w:space="0" w:color="000000"/>
            </w:tcBorders>
            <w:shd w:val="clear" w:color="auto" w:fill="auto"/>
            <w:tcMar>
              <w:top w:w="0" w:type="dxa"/>
              <w:bottom w:w="0" w:type="dxa"/>
            </w:tcMar>
            <w:vAlign w:val="center"/>
          </w:tcPr>
          <w:p w14:paraId="7B59051D" w14:textId="77777777" w:rsidR="00F5650D" w:rsidRPr="00D97ED5" w:rsidRDefault="00F5650D" w:rsidP="007509CE">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D97ED5">
              <w:rPr>
                <w:rFonts w:ascii="Arial" w:hAnsi="Arial" w:cs="Arial"/>
                <w:color w:val="010000"/>
                <w:sz w:val="20"/>
                <w:szCs w:val="20"/>
              </w:rPr>
              <w:t>3</w:t>
            </w:r>
          </w:p>
        </w:tc>
        <w:tc>
          <w:tcPr>
            <w:tcW w:w="2209" w:type="dxa"/>
            <w:tcBorders>
              <w:top w:val="single" w:sz="4" w:space="0" w:color="000000"/>
              <w:left w:val="single" w:sz="4" w:space="0" w:color="000000"/>
            </w:tcBorders>
            <w:shd w:val="clear" w:color="auto" w:fill="auto"/>
            <w:tcMar>
              <w:top w:w="0" w:type="dxa"/>
              <w:bottom w:w="0" w:type="dxa"/>
            </w:tcMar>
            <w:vAlign w:val="center"/>
          </w:tcPr>
          <w:p w14:paraId="21261177" w14:textId="77777777" w:rsidR="00F5650D" w:rsidRPr="00D97ED5" w:rsidRDefault="00F5650D" w:rsidP="007509CE">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D97ED5">
              <w:rPr>
                <w:rFonts w:ascii="Arial" w:hAnsi="Arial" w:cs="Arial"/>
                <w:color w:val="010000"/>
                <w:sz w:val="20"/>
                <w:szCs w:val="20"/>
              </w:rPr>
              <w:t>Total revenue</w:t>
            </w:r>
          </w:p>
        </w:tc>
        <w:tc>
          <w:tcPr>
            <w:tcW w:w="819" w:type="dxa"/>
            <w:tcBorders>
              <w:top w:val="single" w:sz="4" w:space="0" w:color="000000"/>
              <w:left w:val="single" w:sz="4" w:space="0" w:color="000000"/>
            </w:tcBorders>
            <w:shd w:val="clear" w:color="auto" w:fill="auto"/>
            <w:tcMar>
              <w:top w:w="0" w:type="dxa"/>
              <w:bottom w:w="0" w:type="dxa"/>
            </w:tcMar>
          </w:tcPr>
          <w:p w14:paraId="4C78B34F" w14:textId="0E9A6067" w:rsidR="00F5650D" w:rsidRPr="00D97ED5" w:rsidRDefault="00F5650D" w:rsidP="007509CE">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D97ED5">
              <w:rPr>
                <w:rFonts w:ascii="Arial" w:hAnsi="Arial" w:cs="Arial"/>
                <w:color w:val="010000"/>
                <w:sz w:val="20"/>
                <w:szCs w:val="20"/>
              </w:rPr>
              <w:t>Thousand VND</w:t>
            </w:r>
          </w:p>
        </w:tc>
        <w:tc>
          <w:tcPr>
            <w:tcW w:w="1459" w:type="dxa"/>
            <w:tcBorders>
              <w:top w:val="single" w:sz="4" w:space="0" w:color="000000"/>
              <w:left w:val="single" w:sz="4" w:space="0" w:color="000000"/>
            </w:tcBorders>
            <w:shd w:val="clear" w:color="auto" w:fill="auto"/>
            <w:tcMar>
              <w:top w:w="0" w:type="dxa"/>
              <w:bottom w:w="0" w:type="dxa"/>
            </w:tcMar>
            <w:vAlign w:val="center"/>
          </w:tcPr>
          <w:p w14:paraId="4D83B690" w14:textId="77777777" w:rsidR="00F5650D" w:rsidRPr="00D97ED5" w:rsidRDefault="00F5650D" w:rsidP="007509CE">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D97ED5">
              <w:rPr>
                <w:rFonts w:ascii="Arial" w:hAnsi="Arial" w:cs="Arial"/>
                <w:color w:val="010000"/>
                <w:sz w:val="20"/>
                <w:szCs w:val="20"/>
              </w:rPr>
              <w:t>1,201,512,451</w:t>
            </w:r>
          </w:p>
        </w:tc>
        <w:tc>
          <w:tcPr>
            <w:tcW w:w="1398" w:type="dxa"/>
            <w:tcBorders>
              <w:top w:val="single" w:sz="4" w:space="0" w:color="000000"/>
              <w:left w:val="single" w:sz="4" w:space="0" w:color="000000"/>
            </w:tcBorders>
            <w:shd w:val="clear" w:color="auto" w:fill="auto"/>
            <w:tcMar>
              <w:top w:w="0" w:type="dxa"/>
              <w:bottom w:w="0" w:type="dxa"/>
            </w:tcMar>
            <w:vAlign w:val="center"/>
          </w:tcPr>
          <w:p w14:paraId="50FF9C7C" w14:textId="77777777" w:rsidR="00F5650D" w:rsidRPr="00D97ED5" w:rsidRDefault="00F5650D" w:rsidP="007509CE">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D97ED5">
              <w:rPr>
                <w:rFonts w:ascii="Arial" w:hAnsi="Arial" w:cs="Arial"/>
                <w:color w:val="010000"/>
                <w:sz w:val="20"/>
                <w:szCs w:val="20"/>
              </w:rPr>
              <w:t>1,236,800,000</w:t>
            </w:r>
          </w:p>
        </w:tc>
        <w:tc>
          <w:tcPr>
            <w:tcW w:w="1536" w:type="dxa"/>
            <w:tcBorders>
              <w:top w:val="single" w:sz="4" w:space="0" w:color="000000"/>
              <w:left w:val="single" w:sz="4" w:space="0" w:color="000000"/>
            </w:tcBorders>
            <w:shd w:val="clear" w:color="auto" w:fill="auto"/>
            <w:tcMar>
              <w:top w:w="0" w:type="dxa"/>
              <w:bottom w:w="0" w:type="dxa"/>
            </w:tcMar>
            <w:vAlign w:val="center"/>
          </w:tcPr>
          <w:p w14:paraId="792329A5" w14:textId="77777777" w:rsidR="00F5650D" w:rsidRPr="00D97ED5" w:rsidRDefault="00F5650D" w:rsidP="007509CE">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D97ED5">
              <w:rPr>
                <w:rFonts w:ascii="Arial" w:hAnsi="Arial" w:cs="Arial"/>
                <w:color w:val="010000"/>
                <w:sz w:val="20"/>
                <w:szCs w:val="20"/>
              </w:rPr>
              <w:t>1,048,010,681</w:t>
            </w:r>
          </w:p>
        </w:tc>
        <w:tc>
          <w:tcPr>
            <w:tcW w:w="976"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55018EA9" w14:textId="77777777" w:rsidR="00F5650D" w:rsidRPr="00D97ED5" w:rsidRDefault="00F5650D" w:rsidP="007509CE">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D97ED5">
              <w:rPr>
                <w:rFonts w:ascii="Arial" w:hAnsi="Arial" w:cs="Arial"/>
                <w:color w:val="010000"/>
                <w:sz w:val="20"/>
                <w:szCs w:val="20"/>
              </w:rPr>
              <w:t>85%</w:t>
            </w:r>
          </w:p>
        </w:tc>
      </w:tr>
      <w:tr w:rsidR="00F5650D" w:rsidRPr="00D97ED5" w14:paraId="259D71DC" w14:textId="77777777" w:rsidTr="00501EB8">
        <w:tc>
          <w:tcPr>
            <w:tcW w:w="620" w:type="dxa"/>
            <w:tcBorders>
              <w:top w:val="single" w:sz="4" w:space="0" w:color="000000"/>
              <w:left w:val="single" w:sz="4" w:space="0" w:color="000000"/>
            </w:tcBorders>
            <w:shd w:val="clear" w:color="auto" w:fill="auto"/>
            <w:tcMar>
              <w:top w:w="0" w:type="dxa"/>
              <w:bottom w:w="0" w:type="dxa"/>
            </w:tcMar>
            <w:vAlign w:val="center"/>
          </w:tcPr>
          <w:p w14:paraId="77B3B1D9" w14:textId="77777777" w:rsidR="00F5650D" w:rsidRPr="00D97ED5" w:rsidRDefault="00F5650D" w:rsidP="007509CE">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D97ED5">
              <w:rPr>
                <w:rFonts w:ascii="Arial" w:hAnsi="Arial" w:cs="Arial"/>
                <w:color w:val="010000"/>
                <w:sz w:val="20"/>
                <w:szCs w:val="20"/>
              </w:rPr>
              <w:t>4</w:t>
            </w:r>
          </w:p>
        </w:tc>
        <w:tc>
          <w:tcPr>
            <w:tcW w:w="2209" w:type="dxa"/>
            <w:tcBorders>
              <w:top w:val="single" w:sz="4" w:space="0" w:color="000000"/>
              <w:left w:val="single" w:sz="4" w:space="0" w:color="000000"/>
            </w:tcBorders>
            <w:shd w:val="clear" w:color="auto" w:fill="auto"/>
            <w:tcMar>
              <w:top w:w="0" w:type="dxa"/>
              <w:bottom w:w="0" w:type="dxa"/>
            </w:tcMar>
            <w:vAlign w:val="center"/>
          </w:tcPr>
          <w:p w14:paraId="43BABC9B" w14:textId="77777777" w:rsidR="00F5650D" w:rsidRPr="00D97ED5" w:rsidRDefault="00F5650D" w:rsidP="007509CE">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D97ED5">
              <w:rPr>
                <w:rFonts w:ascii="Arial" w:hAnsi="Arial" w:cs="Arial"/>
                <w:color w:val="010000"/>
                <w:sz w:val="20"/>
                <w:szCs w:val="20"/>
              </w:rPr>
              <w:t>Profit before tax</w:t>
            </w:r>
          </w:p>
        </w:tc>
        <w:tc>
          <w:tcPr>
            <w:tcW w:w="819" w:type="dxa"/>
            <w:tcBorders>
              <w:top w:val="single" w:sz="4" w:space="0" w:color="000000"/>
              <w:left w:val="single" w:sz="4" w:space="0" w:color="000000"/>
            </w:tcBorders>
            <w:shd w:val="clear" w:color="auto" w:fill="auto"/>
            <w:tcMar>
              <w:top w:w="0" w:type="dxa"/>
              <w:bottom w:w="0" w:type="dxa"/>
            </w:tcMar>
          </w:tcPr>
          <w:p w14:paraId="6DE25A00" w14:textId="3201976F" w:rsidR="00F5650D" w:rsidRPr="00D97ED5" w:rsidRDefault="00F5650D" w:rsidP="007509CE">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D97ED5">
              <w:rPr>
                <w:rFonts w:ascii="Arial" w:hAnsi="Arial" w:cs="Arial"/>
                <w:color w:val="010000"/>
                <w:sz w:val="20"/>
                <w:szCs w:val="20"/>
              </w:rPr>
              <w:t>Thousand VND</w:t>
            </w:r>
          </w:p>
        </w:tc>
        <w:tc>
          <w:tcPr>
            <w:tcW w:w="1459" w:type="dxa"/>
            <w:tcBorders>
              <w:top w:val="single" w:sz="4" w:space="0" w:color="000000"/>
              <w:left w:val="single" w:sz="4" w:space="0" w:color="000000"/>
            </w:tcBorders>
            <w:shd w:val="clear" w:color="auto" w:fill="auto"/>
            <w:tcMar>
              <w:top w:w="0" w:type="dxa"/>
              <w:bottom w:w="0" w:type="dxa"/>
            </w:tcMar>
            <w:vAlign w:val="center"/>
          </w:tcPr>
          <w:p w14:paraId="1FA3AE15" w14:textId="77777777" w:rsidR="00F5650D" w:rsidRPr="00D97ED5" w:rsidRDefault="00F5650D" w:rsidP="007509CE">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D97ED5">
              <w:rPr>
                <w:rFonts w:ascii="Arial" w:hAnsi="Arial" w:cs="Arial"/>
                <w:color w:val="010000"/>
                <w:sz w:val="20"/>
                <w:szCs w:val="20"/>
              </w:rPr>
              <w:t>31,883,336</w:t>
            </w:r>
          </w:p>
        </w:tc>
        <w:tc>
          <w:tcPr>
            <w:tcW w:w="1398" w:type="dxa"/>
            <w:tcBorders>
              <w:top w:val="single" w:sz="4" w:space="0" w:color="000000"/>
              <w:left w:val="single" w:sz="4" w:space="0" w:color="000000"/>
            </w:tcBorders>
            <w:shd w:val="clear" w:color="auto" w:fill="auto"/>
            <w:tcMar>
              <w:top w:w="0" w:type="dxa"/>
              <w:bottom w:w="0" w:type="dxa"/>
            </w:tcMar>
            <w:vAlign w:val="center"/>
          </w:tcPr>
          <w:p w14:paraId="655A2DAC" w14:textId="77777777" w:rsidR="00F5650D" w:rsidRPr="00D97ED5" w:rsidRDefault="00F5650D" w:rsidP="007509CE">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D97ED5">
              <w:rPr>
                <w:rFonts w:ascii="Arial" w:hAnsi="Arial" w:cs="Arial"/>
                <w:color w:val="010000"/>
                <w:sz w:val="20"/>
                <w:szCs w:val="20"/>
              </w:rPr>
              <w:t>36,000,000</w:t>
            </w:r>
          </w:p>
        </w:tc>
        <w:tc>
          <w:tcPr>
            <w:tcW w:w="1536" w:type="dxa"/>
            <w:tcBorders>
              <w:top w:val="single" w:sz="4" w:space="0" w:color="000000"/>
              <w:left w:val="single" w:sz="4" w:space="0" w:color="000000"/>
            </w:tcBorders>
            <w:shd w:val="clear" w:color="auto" w:fill="auto"/>
            <w:tcMar>
              <w:top w:w="0" w:type="dxa"/>
              <w:bottom w:w="0" w:type="dxa"/>
            </w:tcMar>
            <w:vAlign w:val="center"/>
          </w:tcPr>
          <w:p w14:paraId="4F971BB7" w14:textId="77777777" w:rsidR="00F5650D" w:rsidRPr="00D97ED5" w:rsidRDefault="00F5650D" w:rsidP="007509CE">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D97ED5">
              <w:rPr>
                <w:rFonts w:ascii="Arial" w:hAnsi="Arial" w:cs="Arial"/>
                <w:color w:val="010000"/>
                <w:sz w:val="20"/>
                <w:szCs w:val="20"/>
              </w:rPr>
              <w:t>-38,503,231</w:t>
            </w:r>
          </w:p>
        </w:tc>
        <w:tc>
          <w:tcPr>
            <w:tcW w:w="976"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730F1B76" w14:textId="77777777" w:rsidR="00F5650D" w:rsidRPr="00D97ED5" w:rsidRDefault="00F5650D" w:rsidP="007509CE">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D97ED5">
              <w:rPr>
                <w:rFonts w:ascii="Arial" w:hAnsi="Arial" w:cs="Arial"/>
                <w:color w:val="010000"/>
                <w:sz w:val="20"/>
                <w:szCs w:val="20"/>
              </w:rPr>
              <w:t>-107%</w:t>
            </w:r>
          </w:p>
        </w:tc>
      </w:tr>
      <w:tr w:rsidR="00F5650D" w:rsidRPr="00D97ED5" w14:paraId="65D86D97" w14:textId="77777777" w:rsidTr="00501EB8">
        <w:tc>
          <w:tcPr>
            <w:tcW w:w="620" w:type="dxa"/>
            <w:tcBorders>
              <w:top w:val="single" w:sz="4" w:space="0" w:color="000000"/>
              <w:left w:val="single" w:sz="4" w:space="0" w:color="000000"/>
            </w:tcBorders>
            <w:shd w:val="clear" w:color="auto" w:fill="auto"/>
            <w:tcMar>
              <w:top w:w="0" w:type="dxa"/>
              <w:bottom w:w="0" w:type="dxa"/>
            </w:tcMar>
            <w:vAlign w:val="center"/>
          </w:tcPr>
          <w:p w14:paraId="2425BF4B" w14:textId="77777777" w:rsidR="00F5650D" w:rsidRPr="00D97ED5" w:rsidRDefault="00F5650D" w:rsidP="007509CE">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D97ED5">
              <w:rPr>
                <w:rFonts w:ascii="Arial" w:hAnsi="Arial" w:cs="Arial"/>
                <w:color w:val="010000"/>
                <w:sz w:val="20"/>
                <w:szCs w:val="20"/>
              </w:rPr>
              <w:t>5</w:t>
            </w:r>
          </w:p>
        </w:tc>
        <w:tc>
          <w:tcPr>
            <w:tcW w:w="2209" w:type="dxa"/>
            <w:tcBorders>
              <w:top w:val="single" w:sz="4" w:space="0" w:color="000000"/>
              <w:left w:val="single" w:sz="4" w:space="0" w:color="000000"/>
            </w:tcBorders>
            <w:shd w:val="clear" w:color="auto" w:fill="auto"/>
            <w:tcMar>
              <w:top w:w="0" w:type="dxa"/>
              <w:bottom w:w="0" w:type="dxa"/>
            </w:tcMar>
            <w:vAlign w:val="center"/>
          </w:tcPr>
          <w:p w14:paraId="572866D4" w14:textId="77777777" w:rsidR="00F5650D" w:rsidRPr="00D97ED5" w:rsidRDefault="00F5650D" w:rsidP="007509CE">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D97ED5">
              <w:rPr>
                <w:rFonts w:ascii="Arial" w:hAnsi="Arial" w:cs="Arial"/>
                <w:color w:val="010000"/>
                <w:sz w:val="20"/>
                <w:szCs w:val="20"/>
              </w:rPr>
              <w:t>Profit after tax</w:t>
            </w:r>
          </w:p>
        </w:tc>
        <w:tc>
          <w:tcPr>
            <w:tcW w:w="819" w:type="dxa"/>
            <w:tcBorders>
              <w:top w:val="single" w:sz="4" w:space="0" w:color="000000"/>
              <w:left w:val="single" w:sz="4" w:space="0" w:color="000000"/>
            </w:tcBorders>
            <w:shd w:val="clear" w:color="auto" w:fill="auto"/>
            <w:tcMar>
              <w:top w:w="0" w:type="dxa"/>
              <w:bottom w:w="0" w:type="dxa"/>
            </w:tcMar>
          </w:tcPr>
          <w:p w14:paraId="43FDB0E7" w14:textId="6AE95A96" w:rsidR="00F5650D" w:rsidRPr="00D97ED5" w:rsidRDefault="00F5650D" w:rsidP="007509CE">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D97ED5">
              <w:rPr>
                <w:rFonts w:ascii="Arial" w:hAnsi="Arial" w:cs="Arial"/>
                <w:color w:val="010000"/>
                <w:sz w:val="20"/>
                <w:szCs w:val="20"/>
              </w:rPr>
              <w:t>Thousand VND</w:t>
            </w:r>
          </w:p>
        </w:tc>
        <w:tc>
          <w:tcPr>
            <w:tcW w:w="1459" w:type="dxa"/>
            <w:tcBorders>
              <w:top w:val="single" w:sz="4" w:space="0" w:color="000000"/>
              <w:left w:val="single" w:sz="4" w:space="0" w:color="000000"/>
            </w:tcBorders>
            <w:shd w:val="clear" w:color="auto" w:fill="auto"/>
            <w:tcMar>
              <w:top w:w="0" w:type="dxa"/>
              <w:bottom w:w="0" w:type="dxa"/>
            </w:tcMar>
            <w:vAlign w:val="center"/>
          </w:tcPr>
          <w:p w14:paraId="7678583E" w14:textId="77777777" w:rsidR="00F5650D" w:rsidRPr="00D97ED5" w:rsidRDefault="00F5650D" w:rsidP="007509CE">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D97ED5">
              <w:rPr>
                <w:rFonts w:ascii="Arial" w:hAnsi="Arial" w:cs="Arial"/>
                <w:color w:val="010000"/>
                <w:sz w:val="20"/>
                <w:szCs w:val="20"/>
              </w:rPr>
              <w:t>24,558,111</w:t>
            </w:r>
          </w:p>
        </w:tc>
        <w:tc>
          <w:tcPr>
            <w:tcW w:w="1398" w:type="dxa"/>
            <w:tcBorders>
              <w:top w:val="single" w:sz="4" w:space="0" w:color="000000"/>
              <w:left w:val="single" w:sz="4" w:space="0" w:color="000000"/>
            </w:tcBorders>
            <w:shd w:val="clear" w:color="auto" w:fill="auto"/>
            <w:tcMar>
              <w:top w:w="0" w:type="dxa"/>
              <w:bottom w:w="0" w:type="dxa"/>
            </w:tcMar>
            <w:vAlign w:val="center"/>
          </w:tcPr>
          <w:p w14:paraId="01DE49EC" w14:textId="77777777" w:rsidR="00F5650D" w:rsidRPr="00D97ED5" w:rsidRDefault="00F5650D" w:rsidP="007509CE">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D97ED5">
              <w:rPr>
                <w:rFonts w:ascii="Arial" w:hAnsi="Arial" w:cs="Arial"/>
                <w:color w:val="010000"/>
                <w:sz w:val="20"/>
                <w:szCs w:val="20"/>
              </w:rPr>
              <w:t>28,320,000</w:t>
            </w:r>
          </w:p>
        </w:tc>
        <w:tc>
          <w:tcPr>
            <w:tcW w:w="1536" w:type="dxa"/>
            <w:tcBorders>
              <w:top w:val="single" w:sz="4" w:space="0" w:color="000000"/>
              <w:left w:val="single" w:sz="4" w:space="0" w:color="000000"/>
            </w:tcBorders>
            <w:shd w:val="clear" w:color="auto" w:fill="auto"/>
            <w:tcMar>
              <w:top w:w="0" w:type="dxa"/>
              <w:bottom w:w="0" w:type="dxa"/>
            </w:tcMar>
            <w:vAlign w:val="center"/>
          </w:tcPr>
          <w:p w14:paraId="47C69EE7" w14:textId="77777777" w:rsidR="00F5650D" w:rsidRPr="00D97ED5" w:rsidRDefault="00F5650D" w:rsidP="007509CE">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D97ED5">
              <w:rPr>
                <w:rFonts w:ascii="Arial" w:hAnsi="Arial" w:cs="Arial"/>
                <w:color w:val="010000"/>
                <w:sz w:val="20"/>
                <w:szCs w:val="20"/>
              </w:rPr>
              <w:t>-33,135,047</w:t>
            </w:r>
          </w:p>
        </w:tc>
        <w:tc>
          <w:tcPr>
            <w:tcW w:w="976"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29CAD84B" w14:textId="77777777" w:rsidR="00F5650D" w:rsidRPr="00D97ED5" w:rsidRDefault="00F5650D" w:rsidP="007509CE">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D97ED5">
              <w:rPr>
                <w:rFonts w:ascii="Arial" w:hAnsi="Arial" w:cs="Arial"/>
                <w:color w:val="010000"/>
                <w:sz w:val="20"/>
                <w:szCs w:val="20"/>
              </w:rPr>
              <w:t>-117%</w:t>
            </w:r>
          </w:p>
        </w:tc>
      </w:tr>
      <w:tr w:rsidR="00F5650D" w:rsidRPr="00D97ED5" w14:paraId="126811A2" w14:textId="77777777" w:rsidTr="00501EB8">
        <w:tc>
          <w:tcPr>
            <w:tcW w:w="620" w:type="dxa"/>
            <w:tcBorders>
              <w:top w:val="single" w:sz="4" w:space="0" w:color="000000"/>
              <w:left w:val="single" w:sz="4" w:space="0" w:color="000000"/>
            </w:tcBorders>
            <w:shd w:val="clear" w:color="auto" w:fill="auto"/>
            <w:tcMar>
              <w:top w:w="0" w:type="dxa"/>
              <w:bottom w:w="0" w:type="dxa"/>
            </w:tcMar>
            <w:vAlign w:val="center"/>
          </w:tcPr>
          <w:p w14:paraId="3AF12A79" w14:textId="77777777" w:rsidR="00F5650D" w:rsidRPr="00D97ED5" w:rsidRDefault="00F5650D" w:rsidP="007509CE">
            <w:pPr>
              <w:tabs>
                <w:tab w:val="left" w:pos="284"/>
              </w:tabs>
              <w:spacing w:after="120" w:line="360" w:lineRule="auto"/>
              <w:jc w:val="both"/>
              <w:rPr>
                <w:rFonts w:ascii="Arial" w:eastAsia="Arial" w:hAnsi="Arial" w:cs="Arial"/>
                <w:color w:val="010000"/>
                <w:sz w:val="20"/>
                <w:szCs w:val="20"/>
              </w:rPr>
            </w:pPr>
          </w:p>
        </w:tc>
        <w:tc>
          <w:tcPr>
            <w:tcW w:w="2209" w:type="dxa"/>
            <w:tcBorders>
              <w:top w:val="single" w:sz="4" w:space="0" w:color="000000"/>
              <w:left w:val="single" w:sz="4" w:space="0" w:color="000000"/>
            </w:tcBorders>
            <w:shd w:val="clear" w:color="auto" w:fill="auto"/>
            <w:tcMar>
              <w:top w:w="0" w:type="dxa"/>
              <w:bottom w:w="0" w:type="dxa"/>
            </w:tcMar>
            <w:vAlign w:val="center"/>
          </w:tcPr>
          <w:p w14:paraId="50F73E05" w14:textId="77777777" w:rsidR="00F5650D" w:rsidRPr="00D97ED5" w:rsidRDefault="00F5650D" w:rsidP="007509CE">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D97ED5">
              <w:rPr>
                <w:rFonts w:ascii="Arial" w:hAnsi="Arial" w:cs="Arial"/>
                <w:color w:val="010000"/>
                <w:sz w:val="20"/>
                <w:szCs w:val="20"/>
              </w:rPr>
              <w:t>Profit after tax of the holding company</w:t>
            </w:r>
          </w:p>
        </w:tc>
        <w:tc>
          <w:tcPr>
            <w:tcW w:w="819" w:type="dxa"/>
            <w:tcBorders>
              <w:top w:val="single" w:sz="4" w:space="0" w:color="000000"/>
              <w:left w:val="single" w:sz="4" w:space="0" w:color="000000"/>
            </w:tcBorders>
            <w:shd w:val="clear" w:color="auto" w:fill="auto"/>
            <w:tcMar>
              <w:top w:w="0" w:type="dxa"/>
              <w:bottom w:w="0" w:type="dxa"/>
            </w:tcMar>
          </w:tcPr>
          <w:p w14:paraId="38132C65" w14:textId="1888E016" w:rsidR="00F5650D" w:rsidRPr="00D97ED5" w:rsidRDefault="00F5650D" w:rsidP="007509CE">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D97ED5">
              <w:rPr>
                <w:rFonts w:ascii="Arial" w:hAnsi="Arial" w:cs="Arial"/>
                <w:color w:val="010000"/>
                <w:sz w:val="20"/>
                <w:szCs w:val="20"/>
              </w:rPr>
              <w:t>Thousand VND</w:t>
            </w:r>
          </w:p>
        </w:tc>
        <w:tc>
          <w:tcPr>
            <w:tcW w:w="1459" w:type="dxa"/>
            <w:tcBorders>
              <w:top w:val="single" w:sz="4" w:space="0" w:color="000000"/>
              <w:left w:val="single" w:sz="4" w:space="0" w:color="000000"/>
            </w:tcBorders>
            <w:shd w:val="clear" w:color="auto" w:fill="auto"/>
            <w:tcMar>
              <w:top w:w="0" w:type="dxa"/>
              <w:bottom w:w="0" w:type="dxa"/>
            </w:tcMar>
            <w:vAlign w:val="center"/>
          </w:tcPr>
          <w:p w14:paraId="529AEBB8" w14:textId="77777777" w:rsidR="00F5650D" w:rsidRPr="00D97ED5" w:rsidRDefault="00F5650D" w:rsidP="007509CE">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D97ED5">
              <w:rPr>
                <w:rFonts w:ascii="Arial" w:hAnsi="Arial" w:cs="Arial"/>
                <w:color w:val="010000"/>
                <w:sz w:val="20"/>
                <w:szCs w:val="20"/>
              </w:rPr>
              <w:t>24,044,122</w:t>
            </w:r>
          </w:p>
        </w:tc>
        <w:tc>
          <w:tcPr>
            <w:tcW w:w="1398" w:type="dxa"/>
            <w:tcBorders>
              <w:top w:val="single" w:sz="4" w:space="0" w:color="000000"/>
              <w:left w:val="single" w:sz="4" w:space="0" w:color="000000"/>
            </w:tcBorders>
            <w:shd w:val="clear" w:color="auto" w:fill="auto"/>
            <w:tcMar>
              <w:top w:w="0" w:type="dxa"/>
              <w:bottom w:w="0" w:type="dxa"/>
            </w:tcMar>
            <w:vAlign w:val="center"/>
          </w:tcPr>
          <w:p w14:paraId="1C51C132" w14:textId="77777777" w:rsidR="00F5650D" w:rsidRPr="00D97ED5" w:rsidRDefault="00F5650D" w:rsidP="007509CE">
            <w:pPr>
              <w:tabs>
                <w:tab w:val="left" w:pos="284"/>
              </w:tabs>
              <w:spacing w:after="120" w:line="360" w:lineRule="auto"/>
              <w:jc w:val="both"/>
              <w:rPr>
                <w:rFonts w:ascii="Arial" w:eastAsia="Arial" w:hAnsi="Arial" w:cs="Arial"/>
                <w:color w:val="010000"/>
                <w:sz w:val="20"/>
                <w:szCs w:val="20"/>
              </w:rPr>
            </w:pPr>
          </w:p>
        </w:tc>
        <w:tc>
          <w:tcPr>
            <w:tcW w:w="1536" w:type="dxa"/>
            <w:tcBorders>
              <w:top w:val="single" w:sz="4" w:space="0" w:color="000000"/>
              <w:left w:val="single" w:sz="4" w:space="0" w:color="000000"/>
            </w:tcBorders>
            <w:shd w:val="clear" w:color="auto" w:fill="auto"/>
            <w:tcMar>
              <w:top w:w="0" w:type="dxa"/>
              <w:bottom w:w="0" w:type="dxa"/>
            </w:tcMar>
            <w:vAlign w:val="center"/>
          </w:tcPr>
          <w:p w14:paraId="076D5C5B" w14:textId="77777777" w:rsidR="00F5650D" w:rsidRPr="00D97ED5" w:rsidRDefault="00F5650D" w:rsidP="007509CE">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D97ED5">
              <w:rPr>
                <w:rFonts w:ascii="Arial" w:hAnsi="Arial" w:cs="Arial"/>
                <w:color w:val="010000"/>
                <w:sz w:val="20"/>
                <w:szCs w:val="20"/>
              </w:rPr>
              <w:t>-33,481,641</w:t>
            </w:r>
          </w:p>
        </w:tc>
        <w:tc>
          <w:tcPr>
            <w:tcW w:w="976"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097CC396" w14:textId="77777777" w:rsidR="00F5650D" w:rsidRPr="00D97ED5" w:rsidRDefault="00F5650D" w:rsidP="007509CE">
            <w:pPr>
              <w:tabs>
                <w:tab w:val="left" w:pos="284"/>
              </w:tabs>
              <w:spacing w:after="120" w:line="360" w:lineRule="auto"/>
              <w:jc w:val="both"/>
              <w:rPr>
                <w:rFonts w:ascii="Arial" w:eastAsia="Arial" w:hAnsi="Arial" w:cs="Arial"/>
                <w:color w:val="010000"/>
                <w:sz w:val="20"/>
                <w:szCs w:val="20"/>
              </w:rPr>
            </w:pPr>
          </w:p>
        </w:tc>
      </w:tr>
      <w:tr w:rsidR="005E5AA5" w:rsidRPr="00D97ED5" w14:paraId="794AAAE8" w14:textId="77777777">
        <w:tc>
          <w:tcPr>
            <w:tcW w:w="620" w:type="dxa"/>
            <w:tcBorders>
              <w:top w:val="single" w:sz="4" w:space="0" w:color="000000"/>
              <w:left w:val="single" w:sz="4" w:space="0" w:color="000000"/>
            </w:tcBorders>
            <w:shd w:val="clear" w:color="auto" w:fill="auto"/>
            <w:tcMar>
              <w:top w:w="0" w:type="dxa"/>
              <w:bottom w:w="0" w:type="dxa"/>
            </w:tcMar>
            <w:vAlign w:val="center"/>
          </w:tcPr>
          <w:p w14:paraId="3D7939E9" w14:textId="77777777" w:rsidR="005E5AA5" w:rsidRPr="00D97ED5" w:rsidRDefault="00C153A8" w:rsidP="007509CE">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D97ED5">
              <w:rPr>
                <w:rFonts w:ascii="Arial" w:hAnsi="Arial" w:cs="Arial"/>
                <w:color w:val="010000"/>
                <w:sz w:val="20"/>
                <w:szCs w:val="20"/>
              </w:rPr>
              <w:t>6</w:t>
            </w:r>
          </w:p>
        </w:tc>
        <w:tc>
          <w:tcPr>
            <w:tcW w:w="2209" w:type="dxa"/>
            <w:tcBorders>
              <w:top w:val="single" w:sz="4" w:space="0" w:color="000000"/>
              <w:left w:val="single" w:sz="4" w:space="0" w:color="000000"/>
            </w:tcBorders>
            <w:shd w:val="clear" w:color="auto" w:fill="auto"/>
            <w:tcMar>
              <w:top w:w="0" w:type="dxa"/>
              <w:bottom w:w="0" w:type="dxa"/>
            </w:tcMar>
            <w:vAlign w:val="center"/>
          </w:tcPr>
          <w:p w14:paraId="6EAF731D" w14:textId="77777777" w:rsidR="005E5AA5" w:rsidRPr="00D97ED5" w:rsidRDefault="00C153A8" w:rsidP="007509CE">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D97ED5">
              <w:rPr>
                <w:rFonts w:ascii="Arial" w:hAnsi="Arial" w:cs="Arial"/>
                <w:color w:val="010000"/>
                <w:sz w:val="20"/>
                <w:szCs w:val="20"/>
              </w:rPr>
              <w:t>Profit after tax/owners’ equity rate</w:t>
            </w:r>
          </w:p>
          <w:p w14:paraId="5BE006B6" w14:textId="77777777" w:rsidR="005E5AA5" w:rsidRPr="00D97ED5" w:rsidRDefault="005E5AA5" w:rsidP="007509CE">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p>
        </w:tc>
        <w:tc>
          <w:tcPr>
            <w:tcW w:w="819" w:type="dxa"/>
            <w:tcBorders>
              <w:top w:val="single" w:sz="4" w:space="0" w:color="000000"/>
              <w:left w:val="single" w:sz="4" w:space="0" w:color="000000"/>
            </w:tcBorders>
            <w:shd w:val="clear" w:color="auto" w:fill="auto"/>
            <w:tcMar>
              <w:top w:w="0" w:type="dxa"/>
              <w:bottom w:w="0" w:type="dxa"/>
            </w:tcMar>
            <w:vAlign w:val="center"/>
          </w:tcPr>
          <w:p w14:paraId="3C6E529A" w14:textId="77777777" w:rsidR="005E5AA5" w:rsidRPr="00D97ED5" w:rsidRDefault="00C153A8" w:rsidP="007509CE">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D97ED5">
              <w:rPr>
                <w:rFonts w:ascii="Arial" w:hAnsi="Arial" w:cs="Arial"/>
                <w:color w:val="010000"/>
                <w:sz w:val="20"/>
                <w:szCs w:val="20"/>
              </w:rPr>
              <w:t>%</w:t>
            </w:r>
          </w:p>
        </w:tc>
        <w:tc>
          <w:tcPr>
            <w:tcW w:w="1459" w:type="dxa"/>
            <w:tcBorders>
              <w:top w:val="single" w:sz="4" w:space="0" w:color="000000"/>
              <w:left w:val="single" w:sz="4" w:space="0" w:color="000000"/>
            </w:tcBorders>
            <w:shd w:val="clear" w:color="auto" w:fill="auto"/>
            <w:tcMar>
              <w:top w:w="0" w:type="dxa"/>
              <w:bottom w:w="0" w:type="dxa"/>
            </w:tcMar>
            <w:vAlign w:val="center"/>
          </w:tcPr>
          <w:p w14:paraId="6F63B9A8" w14:textId="77777777" w:rsidR="005E5AA5" w:rsidRPr="00D97ED5" w:rsidRDefault="00C153A8" w:rsidP="007509CE">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D97ED5">
              <w:rPr>
                <w:rFonts w:ascii="Arial" w:hAnsi="Arial" w:cs="Arial"/>
                <w:color w:val="010000"/>
                <w:sz w:val="20"/>
                <w:szCs w:val="20"/>
              </w:rPr>
              <w:t>23%</w:t>
            </w:r>
          </w:p>
        </w:tc>
        <w:tc>
          <w:tcPr>
            <w:tcW w:w="1398" w:type="dxa"/>
            <w:tcBorders>
              <w:top w:val="single" w:sz="4" w:space="0" w:color="000000"/>
              <w:left w:val="single" w:sz="4" w:space="0" w:color="000000"/>
            </w:tcBorders>
            <w:shd w:val="clear" w:color="auto" w:fill="auto"/>
            <w:tcMar>
              <w:top w:w="0" w:type="dxa"/>
              <w:bottom w:w="0" w:type="dxa"/>
            </w:tcMar>
            <w:vAlign w:val="center"/>
          </w:tcPr>
          <w:p w14:paraId="5FD64875" w14:textId="77777777" w:rsidR="005E5AA5" w:rsidRPr="00D97ED5" w:rsidRDefault="00C153A8" w:rsidP="007509CE">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D97ED5">
              <w:rPr>
                <w:rFonts w:ascii="Arial" w:hAnsi="Arial" w:cs="Arial"/>
                <w:color w:val="010000"/>
                <w:sz w:val="20"/>
                <w:szCs w:val="20"/>
              </w:rPr>
              <w:t>26%</w:t>
            </w:r>
          </w:p>
        </w:tc>
        <w:tc>
          <w:tcPr>
            <w:tcW w:w="1536" w:type="dxa"/>
            <w:tcBorders>
              <w:top w:val="single" w:sz="4" w:space="0" w:color="000000"/>
              <w:left w:val="single" w:sz="4" w:space="0" w:color="000000"/>
            </w:tcBorders>
            <w:shd w:val="clear" w:color="auto" w:fill="auto"/>
            <w:tcMar>
              <w:top w:w="0" w:type="dxa"/>
              <w:bottom w:w="0" w:type="dxa"/>
            </w:tcMar>
            <w:vAlign w:val="center"/>
          </w:tcPr>
          <w:p w14:paraId="3AA69608" w14:textId="77777777" w:rsidR="005E5AA5" w:rsidRPr="00D97ED5" w:rsidRDefault="00C153A8" w:rsidP="007509CE">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D97ED5">
              <w:rPr>
                <w:rFonts w:ascii="Arial" w:hAnsi="Arial" w:cs="Arial"/>
                <w:color w:val="010000"/>
                <w:sz w:val="20"/>
                <w:szCs w:val="20"/>
              </w:rPr>
              <w:t>-31%</w:t>
            </w:r>
          </w:p>
        </w:tc>
        <w:tc>
          <w:tcPr>
            <w:tcW w:w="976"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23D68F78" w14:textId="77777777" w:rsidR="005E5AA5" w:rsidRPr="00D97ED5" w:rsidRDefault="00C153A8" w:rsidP="007509CE">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D97ED5">
              <w:rPr>
                <w:rFonts w:ascii="Arial" w:hAnsi="Arial" w:cs="Arial"/>
                <w:color w:val="010000"/>
                <w:sz w:val="20"/>
                <w:szCs w:val="20"/>
              </w:rPr>
              <w:t>-117%</w:t>
            </w:r>
          </w:p>
        </w:tc>
      </w:tr>
      <w:tr w:rsidR="00F5650D" w:rsidRPr="00D97ED5" w14:paraId="731A1E2A" w14:textId="77777777" w:rsidTr="002466FA">
        <w:tc>
          <w:tcPr>
            <w:tcW w:w="620" w:type="dxa"/>
            <w:tcBorders>
              <w:top w:val="single" w:sz="4" w:space="0" w:color="000000"/>
              <w:left w:val="single" w:sz="4" w:space="0" w:color="000000"/>
            </w:tcBorders>
            <w:shd w:val="clear" w:color="auto" w:fill="auto"/>
            <w:tcMar>
              <w:top w:w="0" w:type="dxa"/>
              <w:bottom w:w="0" w:type="dxa"/>
            </w:tcMar>
            <w:vAlign w:val="center"/>
          </w:tcPr>
          <w:p w14:paraId="408B8EF3" w14:textId="77777777" w:rsidR="00F5650D" w:rsidRPr="00D97ED5" w:rsidRDefault="00F5650D" w:rsidP="007509CE">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D97ED5">
              <w:rPr>
                <w:rFonts w:ascii="Arial" w:hAnsi="Arial" w:cs="Arial"/>
                <w:color w:val="010000"/>
                <w:sz w:val="20"/>
                <w:szCs w:val="20"/>
              </w:rPr>
              <w:t>7</w:t>
            </w:r>
          </w:p>
        </w:tc>
        <w:tc>
          <w:tcPr>
            <w:tcW w:w="2209" w:type="dxa"/>
            <w:tcBorders>
              <w:top w:val="single" w:sz="4" w:space="0" w:color="000000"/>
              <w:left w:val="single" w:sz="4" w:space="0" w:color="000000"/>
            </w:tcBorders>
            <w:shd w:val="clear" w:color="auto" w:fill="auto"/>
            <w:tcMar>
              <w:top w:w="0" w:type="dxa"/>
              <w:bottom w:w="0" w:type="dxa"/>
            </w:tcMar>
            <w:vAlign w:val="center"/>
          </w:tcPr>
          <w:p w14:paraId="44F7E61B" w14:textId="77777777" w:rsidR="00F5650D" w:rsidRPr="00D97ED5" w:rsidRDefault="00F5650D" w:rsidP="007509CE">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D97ED5">
              <w:rPr>
                <w:rFonts w:ascii="Arial" w:hAnsi="Arial" w:cs="Arial"/>
                <w:color w:val="010000"/>
                <w:sz w:val="20"/>
                <w:szCs w:val="20"/>
              </w:rPr>
              <w:t>Payables to the State budget</w:t>
            </w:r>
          </w:p>
        </w:tc>
        <w:tc>
          <w:tcPr>
            <w:tcW w:w="819" w:type="dxa"/>
            <w:tcBorders>
              <w:top w:val="single" w:sz="4" w:space="0" w:color="000000"/>
              <w:left w:val="single" w:sz="4" w:space="0" w:color="000000"/>
            </w:tcBorders>
            <w:shd w:val="clear" w:color="auto" w:fill="auto"/>
            <w:tcMar>
              <w:top w:w="0" w:type="dxa"/>
              <w:bottom w:w="0" w:type="dxa"/>
            </w:tcMar>
          </w:tcPr>
          <w:p w14:paraId="75436DE0" w14:textId="15675138" w:rsidR="00F5650D" w:rsidRPr="00D97ED5" w:rsidRDefault="00F5650D" w:rsidP="007509CE">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D97ED5">
              <w:rPr>
                <w:rFonts w:ascii="Arial" w:hAnsi="Arial" w:cs="Arial"/>
                <w:color w:val="010000"/>
                <w:sz w:val="20"/>
                <w:szCs w:val="20"/>
              </w:rPr>
              <w:t>Thousand VND</w:t>
            </w:r>
          </w:p>
        </w:tc>
        <w:tc>
          <w:tcPr>
            <w:tcW w:w="1459" w:type="dxa"/>
            <w:tcBorders>
              <w:top w:val="single" w:sz="4" w:space="0" w:color="000000"/>
              <w:left w:val="single" w:sz="4" w:space="0" w:color="000000"/>
            </w:tcBorders>
            <w:shd w:val="clear" w:color="auto" w:fill="auto"/>
            <w:tcMar>
              <w:top w:w="0" w:type="dxa"/>
              <w:bottom w:w="0" w:type="dxa"/>
            </w:tcMar>
            <w:vAlign w:val="center"/>
          </w:tcPr>
          <w:p w14:paraId="36DB22EF" w14:textId="77777777" w:rsidR="00F5650D" w:rsidRPr="00D97ED5" w:rsidRDefault="00F5650D" w:rsidP="007509CE">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D97ED5">
              <w:rPr>
                <w:rFonts w:ascii="Arial" w:hAnsi="Arial" w:cs="Arial"/>
                <w:color w:val="010000"/>
                <w:sz w:val="20"/>
                <w:szCs w:val="20"/>
              </w:rPr>
              <w:t>36,984,199</w:t>
            </w:r>
          </w:p>
        </w:tc>
        <w:tc>
          <w:tcPr>
            <w:tcW w:w="1398" w:type="dxa"/>
            <w:tcBorders>
              <w:top w:val="single" w:sz="4" w:space="0" w:color="000000"/>
              <w:left w:val="single" w:sz="4" w:space="0" w:color="000000"/>
            </w:tcBorders>
            <w:shd w:val="clear" w:color="auto" w:fill="auto"/>
            <w:tcMar>
              <w:top w:w="0" w:type="dxa"/>
              <w:bottom w:w="0" w:type="dxa"/>
            </w:tcMar>
            <w:vAlign w:val="center"/>
          </w:tcPr>
          <w:p w14:paraId="0FD80EB5" w14:textId="77777777" w:rsidR="00F5650D" w:rsidRPr="00D97ED5" w:rsidRDefault="00F5650D" w:rsidP="007509CE">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D97ED5">
              <w:rPr>
                <w:rFonts w:ascii="Arial" w:hAnsi="Arial" w:cs="Arial"/>
                <w:color w:val="010000"/>
                <w:sz w:val="20"/>
                <w:szCs w:val="20"/>
              </w:rPr>
              <w:t>40,000,000</w:t>
            </w:r>
          </w:p>
        </w:tc>
        <w:tc>
          <w:tcPr>
            <w:tcW w:w="1536" w:type="dxa"/>
            <w:tcBorders>
              <w:top w:val="single" w:sz="4" w:space="0" w:color="000000"/>
              <w:left w:val="single" w:sz="4" w:space="0" w:color="000000"/>
            </w:tcBorders>
            <w:shd w:val="clear" w:color="auto" w:fill="auto"/>
            <w:tcMar>
              <w:top w:w="0" w:type="dxa"/>
              <w:bottom w:w="0" w:type="dxa"/>
            </w:tcMar>
            <w:vAlign w:val="center"/>
          </w:tcPr>
          <w:p w14:paraId="6EB8EE19" w14:textId="77777777" w:rsidR="00F5650D" w:rsidRPr="00D97ED5" w:rsidRDefault="00F5650D" w:rsidP="007509CE">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D97ED5">
              <w:rPr>
                <w:rFonts w:ascii="Arial" w:hAnsi="Arial" w:cs="Arial"/>
                <w:color w:val="010000"/>
                <w:sz w:val="20"/>
                <w:szCs w:val="20"/>
              </w:rPr>
              <w:t>22,344,848</w:t>
            </w:r>
          </w:p>
        </w:tc>
        <w:tc>
          <w:tcPr>
            <w:tcW w:w="976"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479325B3" w14:textId="77777777" w:rsidR="00F5650D" w:rsidRPr="00D97ED5" w:rsidRDefault="00F5650D" w:rsidP="007509CE">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D97ED5">
              <w:rPr>
                <w:rFonts w:ascii="Arial" w:hAnsi="Arial" w:cs="Arial"/>
                <w:color w:val="010000"/>
                <w:sz w:val="20"/>
                <w:szCs w:val="20"/>
              </w:rPr>
              <w:t>56%</w:t>
            </w:r>
          </w:p>
        </w:tc>
      </w:tr>
      <w:tr w:rsidR="00F5650D" w:rsidRPr="00D97ED5" w14:paraId="7678D469" w14:textId="77777777" w:rsidTr="002466FA">
        <w:tc>
          <w:tcPr>
            <w:tcW w:w="62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C041ECD" w14:textId="77777777" w:rsidR="00F5650D" w:rsidRPr="00D97ED5" w:rsidRDefault="00F5650D" w:rsidP="007509CE">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D97ED5">
              <w:rPr>
                <w:rFonts w:ascii="Arial" w:hAnsi="Arial" w:cs="Arial"/>
                <w:color w:val="010000"/>
                <w:sz w:val="20"/>
                <w:szCs w:val="20"/>
              </w:rPr>
              <w:t>8</w:t>
            </w:r>
          </w:p>
        </w:tc>
        <w:tc>
          <w:tcPr>
            <w:tcW w:w="2209"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51E8DE4" w14:textId="77777777" w:rsidR="00F5650D" w:rsidRPr="00D97ED5" w:rsidRDefault="00F5650D" w:rsidP="007509CE">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D97ED5">
              <w:rPr>
                <w:rFonts w:ascii="Arial" w:hAnsi="Arial" w:cs="Arial"/>
                <w:color w:val="010000"/>
                <w:sz w:val="20"/>
                <w:szCs w:val="20"/>
              </w:rPr>
              <w:t>Total salary fund</w:t>
            </w:r>
          </w:p>
        </w:tc>
        <w:tc>
          <w:tcPr>
            <w:tcW w:w="819" w:type="dxa"/>
            <w:tcBorders>
              <w:top w:val="single" w:sz="4" w:space="0" w:color="000000"/>
              <w:left w:val="single" w:sz="4" w:space="0" w:color="000000"/>
              <w:bottom w:val="single" w:sz="4" w:space="0" w:color="000000"/>
            </w:tcBorders>
            <w:shd w:val="clear" w:color="auto" w:fill="auto"/>
            <w:tcMar>
              <w:top w:w="0" w:type="dxa"/>
              <w:bottom w:w="0" w:type="dxa"/>
            </w:tcMar>
          </w:tcPr>
          <w:p w14:paraId="1036417E" w14:textId="1814137D" w:rsidR="00F5650D" w:rsidRPr="00D97ED5" w:rsidRDefault="00F5650D" w:rsidP="007509CE">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D97ED5">
              <w:rPr>
                <w:rFonts w:ascii="Arial" w:hAnsi="Arial" w:cs="Arial"/>
                <w:color w:val="010000"/>
                <w:sz w:val="20"/>
                <w:szCs w:val="20"/>
              </w:rPr>
              <w:t>Thousand VND</w:t>
            </w:r>
          </w:p>
        </w:tc>
        <w:tc>
          <w:tcPr>
            <w:tcW w:w="1459"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C7B3433" w14:textId="77777777" w:rsidR="00F5650D" w:rsidRPr="00D97ED5" w:rsidRDefault="00F5650D" w:rsidP="007509CE">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D97ED5">
              <w:rPr>
                <w:rFonts w:ascii="Arial" w:hAnsi="Arial" w:cs="Arial"/>
                <w:color w:val="010000"/>
                <w:sz w:val="20"/>
                <w:szCs w:val="20"/>
              </w:rPr>
              <w:t>60,900,249</w:t>
            </w:r>
          </w:p>
        </w:tc>
        <w:tc>
          <w:tcPr>
            <w:tcW w:w="139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D8E4F8F" w14:textId="77777777" w:rsidR="00F5650D" w:rsidRPr="00D97ED5" w:rsidRDefault="00F5650D" w:rsidP="007509CE">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D97ED5">
              <w:rPr>
                <w:rFonts w:ascii="Arial" w:hAnsi="Arial" w:cs="Arial"/>
                <w:color w:val="010000"/>
                <w:sz w:val="20"/>
                <w:szCs w:val="20"/>
              </w:rPr>
              <w:t>61,021,689</w:t>
            </w:r>
          </w:p>
        </w:tc>
        <w:tc>
          <w:tcPr>
            <w:tcW w:w="1536"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78F0249" w14:textId="77777777" w:rsidR="00F5650D" w:rsidRPr="00D97ED5" w:rsidRDefault="00F5650D" w:rsidP="007509CE">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D97ED5">
              <w:rPr>
                <w:rFonts w:ascii="Arial" w:hAnsi="Arial" w:cs="Arial"/>
                <w:color w:val="010000"/>
                <w:sz w:val="20"/>
                <w:szCs w:val="20"/>
              </w:rPr>
              <w:t>53,505,567</w:t>
            </w:r>
          </w:p>
        </w:tc>
        <w:tc>
          <w:tcPr>
            <w:tcW w:w="97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4575C33" w14:textId="77777777" w:rsidR="00F5650D" w:rsidRPr="00D97ED5" w:rsidRDefault="00F5650D" w:rsidP="007509CE">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D97ED5">
              <w:rPr>
                <w:rFonts w:ascii="Arial" w:hAnsi="Arial" w:cs="Arial"/>
                <w:color w:val="010000"/>
                <w:sz w:val="20"/>
                <w:szCs w:val="20"/>
              </w:rPr>
              <w:t>88%</w:t>
            </w:r>
          </w:p>
        </w:tc>
      </w:tr>
      <w:tr w:rsidR="005E5AA5" w:rsidRPr="00D97ED5" w14:paraId="6E918722" w14:textId="77777777">
        <w:tc>
          <w:tcPr>
            <w:tcW w:w="620" w:type="dxa"/>
            <w:tcBorders>
              <w:top w:val="single" w:sz="4" w:space="0" w:color="000000"/>
              <w:left w:val="single" w:sz="4" w:space="0" w:color="000000"/>
            </w:tcBorders>
            <w:shd w:val="clear" w:color="auto" w:fill="auto"/>
            <w:tcMar>
              <w:top w:w="0" w:type="dxa"/>
              <w:bottom w:w="0" w:type="dxa"/>
            </w:tcMar>
            <w:vAlign w:val="center"/>
          </w:tcPr>
          <w:p w14:paraId="1479AFB7" w14:textId="77777777" w:rsidR="005E5AA5" w:rsidRPr="00D97ED5" w:rsidRDefault="00C153A8" w:rsidP="007509CE">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D97ED5">
              <w:rPr>
                <w:rFonts w:ascii="Arial" w:hAnsi="Arial" w:cs="Arial"/>
                <w:color w:val="010000"/>
                <w:sz w:val="20"/>
                <w:szCs w:val="20"/>
              </w:rPr>
              <w:t>9</w:t>
            </w:r>
          </w:p>
        </w:tc>
        <w:tc>
          <w:tcPr>
            <w:tcW w:w="2209" w:type="dxa"/>
            <w:tcBorders>
              <w:top w:val="single" w:sz="4" w:space="0" w:color="000000"/>
              <w:left w:val="single" w:sz="4" w:space="0" w:color="000000"/>
            </w:tcBorders>
            <w:shd w:val="clear" w:color="auto" w:fill="auto"/>
            <w:tcMar>
              <w:top w:w="0" w:type="dxa"/>
              <w:bottom w:w="0" w:type="dxa"/>
            </w:tcMar>
            <w:vAlign w:val="center"/>
          </w:tcPr>
          <w:p w14:paraId="1B56C4CB" w14:textId="77777777" w:rsidR="005E5AA5" w:rsidRPr="00D97ED5" w:rsidRDefault="00C153A8" w:rsidP="007509CE">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D97ED5">
              <w:rPr>
                <w:rFonts w:ascii="Arial" w:hAnsi="Arial" w:cs="Arial"/>
                <w:color w:val="010000"/>
                <w:sz w:val="20"/>
                <w:szCs w:val="20"/>
              </w:rPr>
              <w:t>Average labor</w:t>
            </w:r>
          </w:p>
        </w:tc>
        <w:tc>
          <w:tcPr>
            <w:tcW w:w="819" w:type="dxa"/>
            <w:tcBorders>
              <w:top w:val="single" w:sz="4" w:space="0" w:color="000000"/>
              <w:left w:val="single" w:sz="4" w:space="0" w:color="000000"/>
            </w:tcBorders>
            <w:shd w:val="clear" w:color="auto" w:fill="auto"/>
            <w:tcMar>
              <w:top w:w="0" w:type="dxa"/>
              <w:bottom w:w="0" w:type="dxa"/>
            </w:tcMar>
            <w:vAlign w:val="center"/>
          </w:tcPr>
          <w:p w14:paraId="6AC853E5" w14:textId="77777777" w:rsidR="005E5AA5" w:rsidRPr="00D97ED5" w:rsidRDefault="00C153A8" w:rsidP="007509CE">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D97ED5">
              <w:rPr>
                <w:rFonts w:ascii="Arial" w:hAnsi="Arial" w:cs="Arial"/>
                <w:color w:val="010000"/>
                <w:sz w:val="20"/>
                <w:szCs w:val="20"/>
              </w:rPr>
              <w:t>person</w:t>
            </w:r>
          </w:p>
        </w:tc>
        <w:tc>
          <w:tcPr>
            <w:tcW w:w="1459" w:type="dxa"/>
            <w:tcBorders>
              <w:top w:val="single" w:sz="4" w:space="0" w:color="000000"/>
              <w:left w:val="single" w:sz="4" w:space="0" w:color="000000"/>
            </w:tcBorders>
            <w:shd w:val="clear" w:color="auto" w:fill="auto"/>
            <w:tcMar>
              <w:top w:w="0" w:type="dxa"/>
              <w:bottom w:w="0" w:type="dxa"/>
            </w:tcMar>
            <w:vAlign w:val="center"/>
          </w:tcPr>
          <w:p w14:paraId="22476238" w14:textId="77777777" w:rsidR="005E5AA5" w:rsidRPr="00D97ED5" w:rsidRDefault="00C153A8" w:rsidP="007509CE">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D97ED5">
              <w:rPr>
                <w:rFonts w:ascii="Arial" w:hAnsi="Arial" w:cs="Arial"/>
                <w:color w:val="010000"/>
                <w:sz w:val="20"/>
                <w:szCs w:val="20"/>
              </w:rPr>
              <w:t>466</w:t>
            </w:r>
          </w:p>
        </w:tc>
        <w:tc>
          <w:tcPr>
            <w:tcW w:w="1398" w:type="dxa"/>
            <w:tcBorders>
              <w:top w:val="single" w:sz="4" w:space="0" w:color="000000"/>
              <w:left w:val="single" w:sz="4" w:space="0" w:color="000000"/>
            </w:tcBorders>
            <w:shd w:val="clear" w:color="auto" w:fill="auto"/>
            <w:tcMar>
              <w:top w:w="0" w:type="dxa"/>
              <w:bottom w:w="0" w:type="dxa"/>
            </w:tcMar>
            <w:vAlign w:val="center"/>
          </w:tcPr>
          <w:p w14:paraId="278FB2B8" w14:textId="77777777" w:rsidR="005E5AA5" w:rsidRPr="00D97ED5" w:rsidRDefault="00C153A8" w:rsidP="007509CE">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D97ED5">
              <w:rPr>
                <w:rFonts w:ascii="Arial" w:hAnsi="Arial" w:cs="Arial"/>
                <w:color w:val="010000"/>
                <w:sz w:val="20"/>
                <w:szCs w:val="20"/>
              </w:rPr>
              <w:t>466</w:t>
            </w:r>
          </w:p>
        </w:tc>
        <w:tc>
          <w:tcPr>
            <w:tcW w:w="1536" w:type="dxa"/>
            <w:tcBorders>
              <w:top w:val="single" w:sz="4" w:space="0" w:color="000000"/>
              <w:left w:val="single" w:sz="4" w:space="0" w:color="000000"/>
            </w:tcBorders>
            <w:shd w:val="clear" w:color="auto" w:fill="auto"/>
            <w:tcMar>
              <w:top w:w="0" w:type="dxa"/>
              <w:bottom w:w="0" w:type="dxa"/>
            </w:tcMar>
            <w:vAlign w:val="center"/>
          </w:tcPr>
          <w:p w14:paraId="4EC81569" w14:textId="77777777" w:rsidR="005E5AA5" w:rsidRPr="00D97ED5" w:rsidRDefault="00C153A8" w:rsidP="007509CE">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D97ED5">
              <w:rPr>
                <w:rFonts w:ascii="Arial" w:hAnsi="Arial" w:cs="Arial"/>
                <w:color w:val="010000"/>
                <w:sz w:val="20"/>
                <w:szCs w:val="20"/>
              </w:rPr>
              <w:t>435</w:t>
            </w:r>
          </w:p>
        </w:tc>
        <w:tc>
          <w:tcPr>
            <w:tcW w:w="976"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6CEA2B71" w14:textId="77777777" w:rsidR="005E5AA5" w:rsidRPr="00D97ED5" w:rsidRDefault="00C153A8" w:rsidP="007509CE">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D97ED5">
              <w:rPr>
                <w:rFonts w:ascii="Arial" w:hAnsi="Arial" w:cs="Arial"/>
                <w:color w:val="010000"/>
                <w:sz w:val="20"/>
                <w:szCs w:val="20"/>
              </w:rPr>
              <w:t>93%</w:t>
            </w:r>
          </w:p>
        </w:tc>
      </w:tr>
      <w:tr w:rsidR="005E5AA5" w:rsidRPr="00D97ED5" w14:paraId="0BD36C8A" w14:textId="77777777">
        <w:tc>
          <w:tcPr>
            <w:tcW w:w="62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FFA1192" w14:textId="77777777" w:rsidR="005E5AA5" w:rsidRPr="00D97ED5" w:rsidRDefault="00C153A8" w:rsidP="007509CE">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D97ED5">
              <w:rPr>
                <w:rFonts w:ascii="Arial" w:hAnsi="Arial" w:cs="Arial"/>
                <w:color w:val="010000"/>
                <w:sz w:val="20"/>
                <w:szCs w:val="20"/>
              </w:rPr>
              <w:t>10</w:t>
            </w:r>
          </w:p>
        </w:tc>
        <w:tc>
          <w:tcPr>
            <w:tcW w:w="2209"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780EF60" w14:textId="77777777" w:rsidR="005E5AA5" w:rsidRPr="00D97ED5" w:rsidRDefault="00C153A8" w:rsidP="007509CE">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D97ED5">
              <w:rPr>
                <w:rFonts w:ascii="Arial" w:hAnsi="Arial" w:cs="Arial"/>
                <w:color w:val="010000"/>
                <w:sz w:val="20"/>
                <w:szCs w:val="20"/>
              </w:rPr>
              <w:t>Average income/month</w:t>
            </w:r>
          </w:p>
        </w:tc>
        <w:tc>
          <w:tcPr>
            <w:tcW w:w="819"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86BE77A" w14:textId="77777777" w:rsidR="005E5AA5" w:rsidRPr="00D97ED5" w:rsidRDefault="00C153A8" w:rsidP="007509CE">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D97ED5">
              <w:rPr>
                <w:rFonts w:ascii="Arial" w:hAnsi="Arial" w:cs="Arial"/>
                <w:color w:val="010000"/>
                <w:sz w:val="20"/>
                <w:szCs w:val="20"/>
              </w:rPr>
              <w:t>VND/Person</w:t>
            </w:r>
          </w:p>
        </w:tc>
        <w:tc>
          <w:tcPr>
            <w:tcW w:w="1459"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E9C1699" w14:textId="77777777" w:rsidR="005E5AA5" w:rsidRPr="00D97ED5" w:rsidRDefault="00C153A8" w:rsidP="007509CE">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D97ED5">
              <w:rPr>
                <w:rFonts w:ascii="Arial" w:hAnsi="Arial" w:cs="Arial"/>
                <w:color w:val="010000"/>
                <w:sz w:val="20"/>
                <w:szCs w:val="20"/>
              </w:rPr>
              <w:t>11,163,000</w:t>
            </w:r>
          </w:p>
        </w:tc>
        <w:tc>
          <w:tcPr>
            <w:tcW w:w="139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51BDF45" w14:textId="77777777" w:rsidR="005E5AA5" w:rsidRPr="00D97ED5" w:rsidRDefault="00C153A8" w:rsidP="007509CE">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D97ED5">
              <w:rPr>
                <w:rFonts w:ascii="Arial" w:hAnsi="Arial" w:cs="Arial"/>
                <w:color w:val="010000"/>
                <w:sz w:val="20"/>
                <w:szCs w:val="20"/>
              </w:rPr>
              <w:t>11,184,000</w:t>
            </w:r>
          </w:p>
        </w:tc>
        <w:tc>
          <w:tcPr>
            <w:tcW w:w="1536"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951454A" w14:textId="77777777" w:rsidR="005E5AA5" w:rsidRPr="00D97ED5" w:rsidRDefault="00C153A8" w:rsidP="007509CE">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D97ED5">
              <w:rPr>
                <w:rFonts w:ascii="Arial" w:hAnsi="Arial" w:cs="Arial"/>
                <w:color w:val="010000"/>
                <w:sz w:val="20"/>
                <w:szCs w:val="20"/>
              </w:rPr>
              <w:t>11,291,868</w:t>
            </w:r>
          </w:p>
        </w:tc>
        <w:tc>
          <w:tcPr>
            <w:tcW w:w="97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DDBFF06" w14:textId="77777777" w:rsidR="005E5AA5" w:rsidRPr="00D97ED5" w:rsidRDefault="00C153A8" w:rsidP="007509CE">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D97ED5">
              <w:rPr>
                <w:rFonts w:ascii="Arial" w:hAnsi="Arial" w:cs="Arial"/>
                <w:color w:val="010000"/>
                <w:sz w:val="20"/>
                <w:szCs w:val="20"/>
              </w:rPr>
              <w:t>100%</w:t>
            </w:r>
          </w:p>
        </w:tc>
      </w:tr>
    </w:tbl>
    <w:p w14:paraId="48F79810" w14:textId="77777777" w:rsidR="005E5AA5" w:rsidRPr="00D97ED5" w:rsidRDefault="00C153A8" w:rsidP="007509CE">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D97ED5">
        <w:rPr>
          <w:rFonts w:ascii="Arial" w:hAnsi="Arial" w:cs="Arial"/>
          <w:color w:val="010000"/>
          <w:sz w:val="20"/>
          <w:szCs w:val="20"/>
        </w:rPr>
        <w:t xml:space="preserve">(Realized salary fund in 2023, The Company is waiting for an opinion from the Department of Labor, </w:t>
      </w:r>
      <w:r w:rsidRPr="00D97ED5">
        <w:rPr>
          <w:rFonts w:ascii="Arial" w:hAnsi="Arial" w:cs="Arial"/>
          <w:color w:val="010000"/>
          <w:sz w:val="20"/>
          <w:szCs w:val="20"/>
        </w:rPr>
        <w:lastRenderedPageBreak/>
        <w:t>War Invalids, and Social Affairs. Therefore, the Company will make adjustments (if any) according to regulations after receiving opinions from relevant agencies).</w:t>
      </w:r>
    </w:p>
    <w:p w14:paraId="5D9184EA" w14:textId="77777777" w:rsidR="005E5AA5" w:rsidRPr="00D97ED5" w:rsidRDefault="00C153A8" w:rsidP="007509CE">
      <w:pPr>
        <w:numPr>
          <w:ilvl w:val="0"/>
          <w:numId w:val="4"/>
        </w:numPr>
        <w:pBdr>
          <w:top w:val="nil"/>
          <w:left w:val="nil"/>
          <w:bottom w:val="nil"/>
          <w:right w:val="nil"/>
          <w:between w:val="nil"/>
        </w:pBdr>
        <w:tabs>
          <w:tab w:val="left" w:pos="284"/>
        </w:tabs>
        <w:spacing w:after="120" w:line="360" w:lineRule="auto"/>
        <w:ind w:left="0" w:firstLine="0"/>
        <w:jc w:val="both"/>
        <w:rPr>
          <w:rFonts w:ascii="Arial" w:eastAsia="Arial" w:hAnsi="Arial" w:cs="Arial"/>
          <w:color w:val="010000"/>
          <w:sz w:val="20"/>
          <w:szCs w:val="20"/>
        </w:rPr>
      </w:pPr>
      <w:r w:rsidRPr="00D97ED5">
        <w:rPr>
          <w:rFonts w:ascii="Arial" w:hAnsi="Arial" w:cs="Arial"/>
          <w:color w:val="010000"/>
          <w:sz w:val="20"/>
          <w:szCs w:val="20"/>
        </w:rPr>
        <w:t>Production and business plan in 2024 (according to the consolidated report):</w:t>
      </w:r>
    </w:p>
    <w:tbl>
      <w:tblPr>
        <w:tblStyle w:val="a0"/>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8"/>
        <w:gridCol w:w="2993"/>
        <w:gridCol w:w="862"/>
        <w:gridCol w:w="1618"/>
        <w:gridCol w:w="1526"/>
        <w:gridCol w:w="1510"/>
      </w:tblGrid>
      <w:tr w:rsidR="005E5AA5" w:rsidRPr="00D97ED5" w14:paraId="666E66B2" w14:textId="77777777">
        <w:tc>
          <w:tcPr>
            <w:tcW w:w="508" w:type="dxa"/>
            <w:shd w:val="clear" w:color="auto" w:fill="auto"/>
            <w:tcMar>
              <w:top w:w="0" w:type="dxa"/>
              <w:bottom w:w="0" w:type="dxa"/>
            </w:tcMar>
            <w:vAlign w:val="center"/>
          </w:tcPr>
          <w:p w14:paraId="32A4DC73" w14:textId="77777777" w:rsidR="005E5AA5" w:rsidRPr="00D97ED5" w:rsidRDefault="00C153A8" w:rsidP="007509CE">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D97ED5">
              <w:rPr>
                <w:rFonts w:ascii="Arial" w:hAnsi="Arial" w:cs="Arial"/>
                <w:color w:val="010000"/>
                <w:sz w:val="20"/>
                <w:szCs w:val="20"/>
              </w:rPr>
              <w:t>No.</w:t>
            </w:r>
          </w:p>
        </w:tc>
        <w:tc>
          <w:tcPr>
            <w:tcW w:w="2993" w:type="dxa"/>
            <w:shd w:val="clear" w:color="auto" w:fill="auto"/>
            <w:tcMar>
              <w:top w:w="0" w:type="dxa"/>
              <w:bottom w:w="0" w:type="dxa"/>
            </w:tcMar>
            <w:vAlign w:val="center"/>
          </w:tcPr>
          <w:p w14:paraId="79AA00A4" w14:textId="77777777" w:rsidR="005E5AA5" w:rsidRPr="00D97ED5" w:rsidRDefault="00C153A8" w:rsidP="007509CE">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D97ED5">
              <w:rPr>
                <w:rFonts w:ascii="Arial" w:hAnsi="Arial" w:cs="Arial"/>
                <w:color w:val="010000"/>
                <w:sz w:val="20"/>
                <w:szCs w:val="20"/>
              </w:rPr>
              <w:t>Target</w:t>
            </w:r>
          </w:p>
        </w:tc>
        <w:tc>
          <w:tcPr>
            <w:tcW w:w="862" w:type="dxa"/>
            <w:shd w:val="clear" w:color="auto" w:fill="auto"/>
            <w:tcMar>
              <w:top w:w="0" w:type="dxa"/>
              <w:bottom w:w="0" w:type="dxa"/>
            </w:tcMar>
            <w:vAlign w:val="center"/>
          </w:tcPr>
          <w:p w14:paraId="09E77DC1" w14:textId="77777777" w:rsidR="005E5AA5" w:rsidRPr="00D97ED5" w:rsidRDefault="00C153A8" w:rsidP="007509CE">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D97ED5">
              <w:rPr>
                <w:rFonts w:ascii="Arial" w:hAnsi="Arial" w:cs="Arial"/>
                <w:color w:val="010000"/>
                <w:sz w:val="20"/>
                <w:szCs w:val="20"/>
              </w:rPr>
              <w:t>Unit</w:t>
            </w:r>
          </w:p>
        </w:tc>
        <w:tc>
          <w:tcPr>
            <w:tcW w:w="1618" w:type="dxa"/>
            <w:shd w:val="clear" w:color="auto" w:fill="auto"/>
            <w:tcMar>
              <w:top w:w="0" w:type="dxa"/>
              <w:bottom w:w="0" w:type="dxa"/>
            </w:tcMar>
            <w:vAlign w:val="center"/>
          </w:tcPr>
          <w:p w14:paraId="10D0176E" w14:textId="77777777" w:rsidR="005E5AA5" w:rsidRPr="00D97ED5" w:rsidRDefault="00C153A8" w:rsidP="007509CE">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D97ED5">
              <w:rPr>
                <w:rFonts w:ascii="Arial" w:hAnsi="Arial" w:cs="Arial"/>
                <w:color w:val="010000"/>
                <w:sz w:val="20"/>
                <w:szCs w:val="20"/>
              </w:rPr>
              <w:t>Results 2023</w:t>
            </w:r>
          </w:p>
        </w:tc>
        <w:tc>
          <w:tcPr>
            <w:tcW w:w="1526" w:type="dxa"/>
            <w:shd w:val="clear" w:color="auto" w:fill="auto"/>
            <w:tcMar>
              <w:top w:w="0" w:type="dxa"/>
              <w:bottom w:w="0" w:type="dxa"/>
            </w:tcMar>
            <w:vAlign w:val="center"/>
          </w:tcPr>
          <w:p w14:paraId="1A1F80EC" w14:textId="77777777" w:rsidR="005E5AA5" w:rsidRPr="00D97ED5" w:rsidRDefault="00C153A8" w:rsidP="007509CE">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D97ED5">
              <w:rPr>
                <w:rFonts w:ascii="Arial" w:hAnsi="Arial" w:cs="Arial"/>
                <w:color w:val="010000"/>
                <w:sz w:val="20"/>
                <w:szCs w:val="20"/>
              </w:rPr>
              <w:t>Plan for 2024</w:t>
            </w:r>
          </w:p>
        </w:tc>
        <w:tc>
          <w:tcPr>
            <w:tcW w:w="1510" w:type="dxa"/>
            <w:shd w:val="clear" w:color="auto" w:fill="auto"/>
            <w:tcMar>
              <w:top w:w="0" w:type="dxa"/>
              <w:bottom w:w="0" w:type="dxa"/>
            </w:tcMar>
            <w:vAlign w:val="center"/>
          </w:tcPr>
          <w:p w14:paraId="45A1ACC9" w14:textId="77777777" w:rsidR="005E5AA5" w:rsidRPr="00D97ED5" w:rsidRDefault="00C153A8" w:rsidP="007509CE">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D97ED5">
              <w:rPr>
                <w:rFonts w:ascii="Arial" w:hAnsi="Arial" w:cs="Arial"/>
                <w:color w:val="010000"/>
                <w:sz w:val="20"/>
                <w:szCs w:val="20"/>
              </w:rPr>
              <w:t>Plan 2024/ Results 2023</w:t>
            </w:r>
          </w:p>
        </w:tc>
      </w:tr>
      <w:tr w:rsidR="005E5AA5" w:rsidRPr="00D97ED5" w14:paraId="167FDCDC" w14:textId="77777777">
        <w:tc>
          <w:tcPr>
            <w:tcW w:w="508" w:type="dxa"/>
            <w:shd w:val="clear" w:color="auto" w:fill="auto"/>
            <w:tcMar>
              <w:top w:w="0" w:type="dxa"/>
              <w:bottom w:w="0" w:type="dxa"/>
            </w:tcMar>
            <w:vAlign w:val="center"/>
          </w:tcPr>
          <w:p w14:paraId="3466A60A" w14:textId="77777777" w:rsidR="005E5AA5" w:rsidRPr="00D97ED5" w:rsidRDefault="00C153A8" w:rsidP="007509CE">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D97ED5">
              <w:rPr>
                <w:rFonts w:ascii="Arial" w:hAnsi="Arial" w:cs="Arial"/>
                <w:color w:val="010000"/>
                <w:sz w:val="20"/>
                <w:szCs w:val="20"/>
              </w:rPr>
              <w:t>1</w:t>
            </w:r>
          </w:p>
        </w:tc>
        <w:tc>
          <w:tcPr>
            <w:tcW w:w="2993" w:type="dxa"/>
            <w:shd w:val="clear" w:color="auto" w:fill="auto"/>
            <w:tcMar>
              <w:top w:w="0" w:type="dxa"/>
              <w:bottom w:w="0" w:type="dxa"/>
            </w:tcMar>
            <w:vAlign w:val="center"/>
          </w:tcPr>
          <w:p w14:paraId="60FC8C45" w14:textId="77777777" w:rsidR="005E5AA5" w:rsidRPr="00D97ED5" w:rsidRDefault="00C153A8" w:rsidP="007509CE">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D97ED5">
              <w:rPr>
                <w:rFonts w:ascii="Arial" w:hAnsi="Arial" w:cs="Arial"/>
                <w:color w:val="010000"/>
                <w:sz w:val="20"/>
                <w:szCs w:val="20"/>
              </w:rPr>
              <w:t>Production value -price CD 94)</w:t>
            </w:r>
          </w:p>
        </w:tc>
        <w:tc>
          <w:tcPr>
            <w:tcW w:w="862" w:type="dxa"/>
            <w:shd w:val="clear" w:color="auto" w:fill="auto"/>
            <w:tcMar>
              <w:top w:w="0" w:type="dxa"/>
              <w:bottom w:w="0" w:type="dxa"/>
            </w:tcMar>
            <w:vAlign w:val="center"/>
          </w:tcPr>
          <w:p w14:paraId="539E2D93" w14:textId="085E4421" w:rsidR="005E5AA5" w:rsidRPr="00D97ED5" w:rsidRDefault="00F5650D" w:rsidP="007509CE">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D97ED5">
              <w:rPr>
                <w:rFonts w:ascii="Arial" w:hAnsi="Arial" w:cs="Arial"/>
                <w:color w:val="010000"/>
                <w:sz w:val="20"/>
                <w:szCs w:val="20"/>
              </w:rPr>
              <w:t>Thousand VND</w:t>
            </w:r>
          </w:p>
        </w:tc>
        <w:tc>
          <w:tcPr>
            <w:tcW w:w="1618" w:type="dxa"/>
            <w:shd w:val="clear" w:color="auto" w:fill="auto"/>
            <w:tcMar>
              <w:top w:w="0" w:type="dxa"/>
              <w:bottom w:w="0" w:type="dxa"/>
            </w:tcMar>
            <w:vAlign w:val="center"/>
          </w:tcPr>
          <w:p w14:paraId="76473990" w14:textId="77777777" w:rsidR="005E5AA5" w:rsidRPr="00D97ED5" w:rsidRDefault="00C153A8" w:rsidP="007509CE">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D97ED5">
              <w:rPr>
                <w:rFonts w:ascii="Arial" w:hAnsi="Arial" w:cs="Arial"/>
                <w:color w:val="010000"/>
                <w:sz w:val="20"/>
                <w:szCs w:val="20"/>
              </w:rPr>
              <w:t>410,820,042</w:t>
            </w:r>
          </w:p>
        </w:tc>
        <w:tc>
          <w:tcPr>
            <w:tcW w:w="1526" w:type="dxa"/>
            <w:shd w:val="clear" w:color="auto" w:fill="auto"/>
            <w:tcMar>
              <w:top w:w="0" w:type="dxa"/>
              <w:bottom w:w="0" w:type="dxa"/>
            </w:tcMar>
            <w:vAlign w:val="center"/>
          </w:tcPr>
          <w:p w14:paraId="25784F5C" w14:textId="77777777" w:rsidR="005E5AA5" w:rsidRPr="00D97ED5" w:rsidRDefault="00C153A8" w:rsidP="007509CE">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D97ED5">
              <w:rPr>
                <w:rFonts w:ascii="Arial" w:hAnsi="Arial" w:cs="Arial"/>
                <w:color w:val="010000"/>
                <w:sz w:val="20"/>
                <w:szCs w:val="20"/>
              </w:rPr>
              <w:t>492,367,231</w:t>
            </w:r>
          </w:p>
        </w:tc>
        <w:tc>
          <w:tcPr>
            <w:tcW w:w="1510" w:type="dxa"/>
            <w:shd w:val="clear" w:color="auto" w:fill="auto"/>
            <w:tcMar>
              <w:top w:w="0" w:type="dxa"/>
              <w:bottom w:w="0" w:type="dxa"/>
            </w:tcMar>
            <w:vAlign w:val="center"/>
          </w:tcPr>
          <w:p w14:paraId="1389549E" w14:textId="77777777" w:rsidR="005E5AA5" w:rsidRPr="00D97ED5" w:rsidRDefault="00C153A8" w:rsidP="007509CE">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D97ED5">
              <w:rPr>
                <w:rFonts w:ascii="Arial" w:hAnsi="Arial" w:cs="Arial"/>
                <w:color w:val="010000"/>
                <w:sz w:val="20"/>
                <w:szCs w:val="20"/>
              </w:rPr>
              <w:t>120%</w:t>
            </w:r>
          </w:p>
        </w:tc>
      </w:tr>
      <w:tr w:rsidR="005E5AA5" w:rsidRPr="00D97ED5" w14:paraId="0C14871B" w14:textId="77777777">
        <w:tc>
          <w:tcPr>
            <w:tcW w:w="508" w:type="dxa"/>
            <w:shd w:val="clear" w:color="auto" w:fill="auto"/>
            <w:tcMar>
              <w:top w:w="0" w:type="dxa"/>
              <w:bottom w:w="0" w:type="dxa"/>
            </w:tcMar>
            <w:vAlign w:val="center"/>
          </w:tcPr>
          <w:p w14:paraId="4248A4E3" w14:textId="77777777" w:rsidR="005E5AA5" w:rsidRPr="00D97ED5" w:rsidRDefault="00C153A8" w:rsidP="007509CE">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D97ED5">
              <w:rPr>
                <w:rFonts w:ascii="Arial" w:hAnsi="Arial" w:cs="Arial"/>
                <w:color w:val="010000"/>
                <w:sz w:val="20"/>
                <w:szCs w:val="20"/>
              </w:rPr>
              <w:t>2</w:t>
            </w:r>
          </w:p>
        </w:tc>
        <w:tc>
          <w:tcPr>
            <w:tcW w:w="2993" w:type="dxa"/>
            <w:shd w:val="clear" w:color="auto" w:fill="auto"/>
            <w:tcMar>
              <w:top w:w="0" w:type="dxa"/>
              <w:bottom w:w="0" w:type="dxa"/>
            </w:tcMar>
            <w:vAlign w:val="center"/>
          </w:tcPr>
          <w:p w14:paraId="77EA5E72" w14:textId="77777777" w:rsidR="005E5AA5" w:rsidRPr="00D97ED5" w:rsidRDefault="00C153A8" w:rsidP="007509CE">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D97ED5">
              <w:rPr>
                <w:rFonts w:ascii="Arial" w:hAnsi="Arial" w:cs="Arial"/>
                <w:color w:val="010000"/>
                <w:sz w:val="20"/>
                <w:szCs w:val="20"/>
              </w:rPr>
              <w:t>Output</w:t>
            </w:r>
          </w:p>
        </w:tc>
        <w:tc>
          <w:tcPr>
            <w:tcW w:w="862" w:type="dxa"/>
            <w:shd w:val="clear" w:color="auto" w:fill="auto"/>
            <w:tcMar>
              <w:top w:w="0" w:type="dxa"/>
              <w:bottom w:w="0" w:type="dxa"/>
            </w:tcMar>
            <w:vAlign w:val="center"/>
          </w:tcPr>
          <w:p w14:paraId="75362E47" w14:textId="77777777" w:rsidR="005E5AA5" w:rsidRPr="00D97ED5" w:rsidRDefault="00C153A8" w:rsidP="007509CE">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D97ED5">
              <w:rPr>
                <w:rFonts w:ascii="Arial" w:hAnsi="Arial" w:cs="Arial"/>
                <w:color w:val="010000"/>
                <w:sz w:val="20"/>
                <w:szCs w:val="20"/>
              </w:rPr>
              <w:t>Tons</w:t>
            </w:r>
          </w:p>
        </w:tc>
        <w:tc>
          <w:tcPr>
            <w:tcW w:w="1618" w:type="dxa"/>
            <w:shd w:val="clear" w:color="auto" w:fill="auto"/>
            <w:tcMar>
              <w:top w:w="0" w:type="dxa"/>
              <w:bottom w:w="0" w:type="dxa"/>
            </w:tcMar>
            <w:vAlign w:val="center"/>
          </w:tcPr>
          <w:p w14:paraId="3A9A452A" w14:textId="77777777" w:rsidR="005E5AA5" w:rsidRPr="00D97ED5" w:rsidRDefault="00C153A8" w:rsidP="007509CE">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D97ED5">
              <w:rPr>
                <w:rFonts w:ascii="Arial" w:hAnsi="Arial" w:cs="Arial"/>
                <w:color w:val="010000"/>
                <w:sz w:val="20"/>
                <w:szCs w:val="20"/>
              </w:rPr>
              <w:t>4,529</w:t>
            </w:r>
          </w:p>
        </w:tc>
        <w:tc>
          <w:tcPr>
            <w:tcW w:w="1526" w:type="dxa"/>
            <w:shd w:val="clear" w:color="auto" w:fill="auto"/>
            <w:tcMar>
              <w:top w:w="0" w:type="dxa"/>
              <w:bottom w:w="0" w:type="dxa"/>
            </w:tcMar>
            <w:vAlign w:val="center"/>
          </w:tcPr>
          <w:p w14:paraId="4B5C4156" w14:textId="77777777" w:rsidR="005E5AA5" w:rsidRPr="00D97ED5" w:rsidRDefault="00C153A8" w:rsidP="007509CE">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D97ED5">
              <w:rPr>
                <w:rFonts w:ascii="Arial" w:hAnsi="Arial" w:cs="Arial"/>
                <w:color w:val="010000"/>
                <w:sz w:val="20"/>
                <w:szCs w:val="20"/>
              </w:rPr>
              <w:t>5,428</w:t>
            </w:r>
          </w:p>
        </w:tc>
        <w:tc>
          <w:tcPr>
            <w:tcW w:w="1510" w:type="dxa"/>
            <w:shd w:val="clear" w:color="auto" w:fill="auto"/>
            <w:tcMar>
              <w:top w:w="0" w:type="dxa"/>
              <w:bottom w:w="0" w:type="dxa"/>
            </w:tcMar>
            <w:vAlign w:val="center"/>
          </w:tcPr>
          <w:p w14:paraId="2D435B5B" w14:textId="77777777" w:rsidR="005E5AA5" w:rsidRPr="00D97ED5" w:rsidRDefault="00C153A8" w:rsidP="007509CE">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D97ED5">
              <w:rPr>
                <w:rFonts w:ascii="Arial" w:hAnsi="Arial" w:cs="Arial"/>
                <w:color w:val="010000"/>
                <w:sz w:val="20"/>
                <w:szCs w:val="20"/>
              </w:rPr>
              <w:t>120%</w:t>
            </w:r>
          </w:p>
        </w:tc>
      </w:tr>
      <w:tr w:rsidR="00F5650D" w:rsidRPr="00D97ED5" w14:paraId="33E06632" w14:textId="77777777" w:rsidTr="004D39CB">
        <w:tc>
          <w:tcPr>
            <w:tcW w:w="508" w:type="dxa"/>
            <w:shd w:val="clear" w:color="auto" w:fill="auto"/>
            <w:tcMar>
              <w:top w:w="0" w:type="dxa"/>
              <w:bottom w:w="0" w:type="dxa"/>
            </w:tcMar>
            <w:vAlign w:val="center"/>
          </w:tcPr>
          <w:p w14:paraId="0A8FD082" w14:textId="77777777" w:rsidR="00F5650D" w:rsidRPr="00D97ED5" w:rsidRDefault="00F5650D" w:rsidP="007509CE">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D97ED5">
              <w:rPr>
                <w:rFonts w:ascii="Arial" w:hAnsi="Arial" w:cs="Arial"/>
                <w:color w:val="010000"/>
                <w:sz w:val="20"/>
                <w:szCs w:val="20"/>
              </w:rPr>
              <w:t>3</w:t>
            </w:r>
          </w:p>
        </w:tc>
        <w:tc>
          <w:tcPr>
            <w:tcW w:w="2993" w:type="dxa"/>
            <w:shd w:val="clear" w:color="auto" w:fill="auto"/>
            <w:tcMar>
              <w:top w:w="0" w:type="dxa"/>
              <w:bottom w:w="0" w:type="dxa"/>
            </w:tcMar>
            <w:vAlign w:val="center"/>
          </w:tcPr>
          <w:p w14:paraId="4A3EB975" w14:textId="77777777" w:rsidR="00F5650D" w:rsidRPr="00D97ED5" w:rsidRDefault="00F5650D" w:rsidP="007509CE">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D97ED5">
              <w:rPr>
                <w:rFonts w:ascii="Arial" w:hAnsi="Arial" w:cs="Arial"/>
                <w:color w:val="010000"/>
                <w:sz w:val="20"/>
                <w:szCs w:val="20"/>
              </w:rPr>
              <w:t>Total revenue</w:t>
            </w:r>
          </w:p>
        </w:tc>
        <w:tc>
          <w:tcPr>
            <w:tcW w:w="862" w:type="dxa"/>
            <w:shd w:val="clear" w:color="auto" w:fill="auto"/>
            <w:tcMar>
              <w:top w:w="0" w:type="dxa"/>
              <w:bottom w:w="0" w:type="dxa"/>
            </w:tcMar>
          </w:tcPr>
          <w:p w14:paraId="635D9A1D" w14:textId="7DA10F56" w:rsidR="00F5650D" w:rsidRPr="00D97ED5" w:rsidRDefault="00F5650D" w:rsidP="007509CE">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D97ED5">
              <w:rPr>
                <w:rFonts w:ascii="Arial" w:hAnsi="Arial" w:cs="Arial"/>
                <w:color w:val="010000"/>
                <w:sz w:val="20"/>
                <w:szCs w:val="20"/>
              </w:rPr>
              <w:t>Thousand VND</w:t>
            </w:r>
          </w:p>
        </w:tc>
        <w:tc>
          <w:tcPr>
            <w:tcW w:w="1618" w:type="dxa"/>
            <w:shd w:val="clear" w:color="auto" w:fill="auto"/>
            <w:tcMar>
              <w:top w:w="0" w:type="dxa"/>
              <w:bottom w:w="0" w:type="dxa"/>
            </w:tcMar>
            <w:vAlign w:val="center"/>
          </w:tcPr>
          <w:p w14:paraId="18EE37DC" w14:textId="77777777" w:rsidR="00F5650D" w:rsidRPr="00D97ED5" w:rsidRDefault="00F5650D" w:rsidP="007509CE">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D97ED5">
              <w:rPr>
                <w:rFonts w:ascii="Arial" w:hAnsi="Arial" w:cs="Arial"/>
                <w:color w:val="010000"/>
                <w:sz w:val="20"/>
                <w:szCs w:val="20"/>
              </w:rPr>
              <w:t>1,048,010,681</w:t>
            </w:r>
          </w:p>
        </w:tc>
        <w:tc>
          <w:tcPr>
            <w:tcW w:w="1526" w:type="dxa"/>
            <w:shd w:val="clear" w:color="auto" w:fill="auto"/>
            <w:tcMar>
              <w:top w:w="0" w:type="dxa"/>
              <w:bottom w:w="0" w:type="dxa"/>
            </w:tcMar>
            <w:vAlign w:val="center"/>
          </w:tcPr>
          <w:p w14:paraId="05E1A6ED" w14:textId="77777777" w:rsidR="00F5650D" w:rsidRPr="00D97ED5" w:rsidRDefault="00F5650D" w:rsidP="007509CE">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D97ED5">
              <w:rPr>
                <w:rFonts w:ascii="Arial" w:hAnsi="Arial" w:cs="Arial"/>
                <w:color w:val="010000"/>
                <w:sz w:val="20"/>
                <w:szCs w:val="20"/>
              </w:rPr>
              <w:t>1,197,800,000</w:t>
            </w:r>
          </w:p>
        </w:tc>
        <w:tc>
          <w:tcPr>
            <w:tcW w:w="1510" w:type="dxa"/>
            <w:shd w:val="clear" w:color="auto" w:fill="auto"/>
            <w:tcMar>
              <w:top w:w="0" w:type="dxa"/>
              <w:bottom w:w="0" w:type="dxa"/>
            </w:tcMar>
            <w:vAlign w:val="center"/>
          </w:tcPr>
          <w:p w14:paraId="3CCD87D2" w14:textId="77777777" w:rsidR="00F5650D" w:rsidRPr="00D97ED5" w:rsidRDefault="00F5650D" w:rsidP="007509CE">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D97ED5">
              <w:rPr>
                <w:rFonts w:ascii="Arial" w:hAnsi="Arial" w:cs="Arial"/>
                <w:color w:val="010000"/>
                <w:sz w:val="20"/>
                <w:szCs w:val="20"/>
              </w:rPr>
              <w:t>114%</w:t>
            </w:r>
          </w:p>
        </w:tc>
      </w:tr>
      <w:tr w:rsidR="00F5650D" w:rsidRPr="00D97ED5" w14:paraId="1D9075E7" w14:textId="77777777" w:rsidTr="004D39CB">
        <w:tc>
          <w:tcPr>
            <w:tcW w:w="508" w:type="dxa"/>
            <w:shd w:val="clear" w:color="auto" w:fill="auto"/>
            <w:tcMar>
              <w:top w:w="0" w:type="dxa"/>
              <w:bottom w:w="0" w:type="dxa"/>
            </w:tcMar>
            <w:vAlign w:val="center"/>
          </w:tcPr>
          <w:p w14:paraId="42BD5D03" w14:textId="77777777" w:rsidR="00F5650D" w:rsidRPr="00D97ED5" w:rsidRDefault="00F5650D" w:rsidP="007509CE">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D97ED5">
              <w:rPr>
                <w:rFonts w:ascii="Arial" w:hAnsi="Arial" w:cs="Arial"/>
                <w:color w:val="010000"/>
                <w:sz w:val="20"/>
                <w:szCs w:val="20"/>
              </w:rPr>
              <w:t>4</w:t>
            </w:r>
          </w:p>
        </w:tc>
        <w:tc>
          <w:tcPr>
            <w:tcW w:w="2993" w:type="dxa"/>
            <w:shd w:val="clear" w:color="auto" w:fill="auto"/>
            <w:tcMar>
              <w:top w:w="0" w:type="dxa"/>
              <w:bottom w:w="0" w:type="dxa"/>
            </w:tcMar>
            <w:vAlign w:val="center"/>
          </w:tcPr>
          <w:p w14:paraId="75A6158D" w14:textId="77777777" w:rsidR="00F5650D" w:rsidRPr="00D97ED5" w:rsidRDefault="00F5650D" w:rsidP="007509CE">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D97ED5">
              <w:rPr>
                <w:rFonts w:ascii="Arial" w:hAnsi="Arial" w:cs="Arial"/>
                <w:color w:val="010000"/>
                <w:sz w:val="20"/>
                <w:szCs w:val="20"/>
              </w:rPr>
              <w:t>Profit before tax:</w:t>
            </w:r>
          </w:p>
        </w:tc>
        <w:tc>
          <w:tcPr>
            <w:tcW w:w="862" w:type="dxa"/>
            <w:shd w:val="clear" w:color="auto" w:fill="auto"/>
            <w:tcMar>
              <w:top w:w="0" w:type="dxa"/>
              <w:bottom w:w="0" w:type="dxa"/>
            </w:tcMar>
          </w:tcPr>
          <w:p w14:paraId="7F95BDC7" w14:textId="094333C8" w:rsidR="00F5650D" w:rsidRPr="00D97ED5" w:rsidRDefault="00F5650D" w:rsidP="007509CE">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D97ED5">
              <w:rPr>
                <w:rFonts w:ascii="Arial" w:hAnsi="Arial" w:cs="Arial"/>
                <w:color w:val="010000"/>
                <w:sz w:val="20"/>
                <w:szCs w:val="20"/>
              </w:rPr>
              <w:t>Thousand VND</w:t>
            </w:r>
          </w:p>
        </w:tc>
        <w:tc>
          <w:tcPr>
            <w:tcW w:w="1618" w:type="dxa"/>
            <w:shd w:val="clear" w:color="auto" w:fill="auto"/>
            <w:tcMar>
              <w:top w:w="0" w:type="dxa"/>
              <w:bottom w:w="0" w:type="dxa"/>
            </w:tcMar>
            <w:vAlign w:val="center"/>
          </w:tcPr>
          <w:p w14:paraId="2E9E695D" w14:textId="77777777" w:rsidR="00F5650D" w:rsidRPr="00D97ED5" w:rsidRDefault="00F5650D" w:rsidP="007509CE">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D97ED5">
              <w:rPr>
                <w:rFonts w:ascii="Arial" w:hAnsi="Arial" w:cs="Arial"/>
                <w:color w:val="010000"/>
                <w:sz w:val="20"/>
                <w:szCs w:val="20"/>
              </w:rPr>
              <w:t>-38,503,231</w:t>
            </w:r>
          </w:p>
        </w:tc>
        <w:tc>
          <w:tcPr>
            <w:tcW w:w="1526" w:type="dxa"/>
            <w:shd w:val="clear" w:color="auto" w:fill="auto"/>
            <w:tcMar>
              <w:top w:w="0" w:type="dxa"/>
              <w:bottom w:w="0" w:type="dxa"/>
            </w:tcMar>
            <w:vAlign w:val="center"/>
          </w:tcPr>
          <w:p w14:paraId="0E3CE82F" w14:textId="77777777" w:rsidR="00F5650D" w:rsidRPr="00D97ED5" w:rsidRDefault="00F5650D" w:rsidP="007509CE">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D97ED5">
              <w:rPr>
                <w:rFonts w:ascii="Arial" w:hAnsi="Arial" w:cs="Arial"/>
                <w:color w:val="010000"/>
                <w:sz w:val="20"/>
                <w:szCs w:val="20"/>
              </w:rPr>
              <w:t>22,400,000</w:t>
            </w:r>
          </w:p>
        </w:tc>
        <w:tc>
          <w:tcPr>
            <w:tcW w:w="1510" w:type="dxa"/>
            <w:shd w:val="clear" w:color="auto" w:fill="auto"/>
            <w:tcMar>
              <w:top w:w="0" w:type="dxa"/>
              <w:bottom w:w="0" w:type="dxa"/>
            </w:tcMar>
            <w:vAlign w:val="center"/>
          </w:tcPr>
          <w:p w14:paraId="51A40CEB" w14:textId="77777777" w:rsidR="00F5650D" w:rsidRPr="00D97ED5" w:rsidRDefault="00F5650D" w:rsidP="007509CE">
            <w:pPr>
              <w:tabs>
                <w:tab w:val="left" w:pos="284"/>
              </w:tabs>
              <w:spacing w:after="120" w:line="360" w:lineRule="auto"/>
              <w:jc w:val="both"/>
              <w:rPr>
                <w:rFonts w:ascii="Arial" w:eastAsia="Arial" w:hAnsi="Arial" w:cs="Arial"/>
                <w:color w:val="010000"/>
                <w:sz w:val="20"/>
                <w:szCs w:val="20"/>
              </w:rPr>
            </w:pPr>
          </w:p>
        </w:tc>
      </w:tr>
      <w:tr w:rsidR="00F5650D" w:rsidRPr="00D97ED5" w14:paraId="1C9727EB" w14:textId="77777777" w:rsidTr="004D39CB">
        <w:tc>
          <w:tcPr>
            <w:tcW w:w="508" w:type="dxa"/>
            <w:shd w:val="clear" w:color="auto" w:fill="auto"/>
            <w:tcMar>
              <w:top w:w="0" w:type="dxa"/>
              <w:bottom w:w="0" w:type="dxa"/>
            </w:tcMar>
            <w:vAlign w:val="center"/>
          </w:tcPr>
          <w:p w14:paraId="4A07F349" w14:textId="77777777" w:rsidR="00F5650D" w:rsidRPr="00D97ED5" w:rsidRDefault="00F5650D" w:rsidP="007509CE">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D97ED5">
              <w:rPr>
                <w:rFonts w:ascii="Arial" w:hAnsi="Arial" w:cs="Arial"/>
                <w:color w:val="010000"/>
                <w:sz w:val="20"/>
                <w:szCs w:val="20"/>
              </w:rPr>
              <w:t>5</w:t>
            </w:r>
          </w:p>
        </w:tc>
        <w:tc>
          <w:tcPr>
            <w:tcW w:w="2993" w:type="dxa"/>
            <w:shd w:val="clear" w:color="auto" w:fill="auto"/>
            <w:tcMar>
              <w:top w:w="0" w:type="dxa"/>
              <w:bottom w:w="0" w:type="dxa"/>
            </w:tcMar>
            <w:vAlign w:val="center"/>
          </w:tcPr>
          <w:p w14:paraId="2E0D2597" w14:textId="77777777" w:rsidR="00F5650D" w:rsidRPr="00D97ED5" w:rsidRDefault="00F5650D" w:rsidP="007509CE">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D97ED5">
              <w:rPr>
                <w:rFonts w:ascii="Arial" w:hAnsi="Arial" w:cs="Arial"/>
                <w:color w:val="010000"/>
                <w:sz w:val="20"/>
                <w:szCs w:val="20"/>
              </w:rPr>
              <w:t>Profit after tax</w:t>
            </w:r>
          </w:p>
        </w:tc>
        <w:tc>
          <w:tcPr>
            <w:tcW w:w="862" w:type="dxa"/>
            <w:shd w:val="clear" w:color="auto" w:fill="auto"/>
            <w:tcMar>
              <w:top w:w="0" w:type="dxa"/>
              <w:bottom w:w="0" w:type="dxa"/>
            </w:tcMar>
          </w:tcPr>
          <w:p w14:paraId="4967E52D" w14:textId="3DA71AFB" w:rsidR="00F5650D" w:rsidRPr="00D97ED5" w:rsidRDefault="00F5650D" w:rsidP="007509CE">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D97ED5">
              <w:rPr>
                <w:rFonts w:ascii="Arial" w:hAnsi="Arial" w:cs="Arial"/>
                <w:color w:val="010000"/>
                <w:sz w:val="20"/>
                <w:szCs w:val="20"/>
              </w:rPr>
              <w:t>Thousand VND</w:t>
            </w:r>
          </w:p>
        </w:tc>
        <w:tc>
          <w:tcPr>
            <w:tcW w:w="1618" w:type="dxa"/>
            <w:shd w:val="clear" w:color="auto" w:fill="auto"/>
            <w:tcMar>
              <w:top w:w="0" w:type="dxa"/>
              <w:bottom w:w="0" w:type="dxa"/>
            </w:tcMar>
            <w:vAlign w:val="center"/>
          </w:tcPr>
          <w:p w14:paraId="31CFC897" w14:textId="77777777" w:rsidR="00F5650D" w:rsidRPr="00D97ED5" w:rsidRDefault="00F5650D" w:rsidP="007509CE">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D97ED5">
              <w:rPr>
                <w:rFonts w:ascii="Arial" w:hAnsi="Arial" w:cs="Arial"/>
                <w:color w:val="010000"/>
                <w:sz w:val="20"/>
                <w:szCs w:val="20"/>
              </w:rPr>
              <w:t>-33,135,047</w:t>
            </w:r>
          </w:p>
        </w:tc>
        <w:tc>
          <w:tcPr>
            <w:tcW w:w="1526" w:type="dxa"/>
            <w:shd w:val="clear" w:color="auto" w:fill="auto"/>
            <w:tcMar>
              <w:top w:w="0" w:type="dxa"/>
              <w:bottom w:w="0" w:type="dxa"/>
            </w:tcMar>
            <w:vAlign w:val="center"/>
          </w:tcPr>
          <w:p w14:paraId="0B4F0926" w14:textId="77777777" w:rsidR="00F5650D" w:rsidRPr="00D97ED5" w:rsidRDefault="00F5650D" w:rsidP="007509CE">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D97ED5">
              <w:rPr>
                <w:rFonts w:ascii="Arial" w:hAnsi="Arial" w:cs="Arial"/>
                <w:color w:val="010000"/>
                <w:sz w:val="20"/>
                <w:szCs w:val="20"/>
              </w:rPr>
              <w:t>21,920,000</w:t>
            </w:r>
          </w:p>
        </w:tc>
        <w:tc>
          <w:tcPr>
            <w:tcW w:w="1510" w:type="dxa"/>
            <w:shd w:val="clear" w:color="auto" w:fill="auto"/>
            <w:tcMar>
              <w:top w:w="0" w:type="dxa"/>
              <w:bottom w:w="0" w:type="dxa"/>
            </w:tcMar>
            <w:vAlign w:val="center"/>
          </w:tcPr>
          <w:p w14:paraId="721EA46F" w14:textId="77777777" w:rsidR="00F5650D" w:rsidRPr="00D97ED5" w:rsidRDefault="00F5650D" w:rsidP="007509CE">
            <w:pPr>
              <w:tabs>
                <w:tab w:val="left" w:pos="284"/>
              </w:tabs>
              <w:spacing w:after="120" w:line="360" w:lineRule="auto"/>
              <w:jc w:val="both"/>
              <w:rPr>
                <w:rFonts w:ascii="Arial" w:eastAsia="Arial" w:hAnsi="Arial" w:cs="Arial"/>
                <w:color w:val="010000"/>
                <w:sz w:val="20"/>
                <w:szCs w:val="20"/>
              </w:rPr>
            </w:pPr>
          </w:p>
        </w:tc>
      </w:tr>
      <w:tr w:rsidR="00F5650D" w:rsidRPr="00D97ED5" w14:paraId="1EFF2629" w14:textId="77777777" w:rsidTr="004D39CB">
        <w:tc>
          <w:tcPr>
            <w:tcW w:w="508" w:type="dxa"/>
            <w:shd w:val="clear" w:color="auto" w:fill="auto"/>
            <w:tcMar>
              <w:top w:w="0" w:type="dxa"/>
              <w:bottom w:w="0" w:type="dxa"/>
            </w:tcMar>
            <w:vAlign w:val="center"/>
          </w:tcPr>
          <w:p w14:paraId="6DE323EE" w14:textId="77777777" w:rsidR="00F5650D" w:rsidRPr="00D97ED5" w:rsidRDefault="00F5650D" w:rsidP="007509CE">
            <w:pPr>
              <w:tabs>
                <w:tab w:val="left" w:pos="284"/>
              </w:tabs>
              <w:spacing w:after="120" w:line="360" w:lineRule="auto"/>
              <w:jc w:val="both"/>
              <w:rPr>
                <w:rFonts w:ascii="Arial" w:eastAsia="Arial" w:hAnsi="Arial" w:cs="Arial"/>
                <w:color w:val="010000"/>
                <w:sz w:val="20"/>
                <w:szCs w:val="20"/>
              </w:rPr>
            </w:pPr>
          </w:p>
        </w:tc>
        <w:tc>
          <w:tcPr>
            <w:tcW w:w="2993" w:type="dxa"/>
            <w:shd w:val="clear" w:color="auto" w:fill="auto"/>
            <w:tcMar>
              <w:top w:w="0" w:type="dxa"/>
              <w:bottom w:w="0" w:type="dxa"/>
            </w:tcMar>
            <w:vAlign w:val="center"/>
          </w:tcPr>
          <w:p w14:paraId="3DE65F31" w14:textId="77777777" w:rsidR="00F5650D" w:rsidRPr="00D97ED5" w:rsidRDefault="00F5650D" w:rsidP="007509CE">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D97ED5">
              <w:rPr>
                <w:rFonts w:ascii="Arial" w:hAnsi="Arial" w:cs="Arial"/>
                <w:color w:val="010000"/>
                <w:sz w:val="20"/>
                <w:szCs w:val="20"/>
              </w:rPr>
              <w:t>Profit after tax of the holding company</w:t>
            </w:r>
          </w:p>
        </w:tc>
        <w:tc>
          <w:tcPr>
            <w:tcW w:w="862" w:type="dxa"/>
            <w:shd w:val="clear" w:color="auto" w:fill="auto"/>
            <w:tcMar>
              <w:top w:w="0" w:type="dxa"/>
              <w:bottom w:w="0" w:type="dxa"/>
            </w:tcMar>
          </w:tcPr>
          <w:p w14:paraId="49DEACD9" w14:textId="27F38B86" w:rsidR="00F5650D" w:rsidRPr="00D97ED5" w:rsidRDefault="00F5650D" w:rsidP="007509CE">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D97ED5">
              <w:rPr>
                <w:rFonts w:ascii="Arial" w:hAnsi="Arial" w:cs="Arial"/>
                <w:color w:val="010000"/>
                <w:sz w:val="20"/>
                <w:szCs w:val="20"/>
              </w:rPr>
              <w:t>Thousand VND</w:t>
            </w:r>
          </w:p>
        </w:tc>
        <w:tc>
          <w:tcPr>
            <w:tcW w:w="1618" w:type="dxa"/>
            <w:shd w:val="clear" w:color="auto" w:fill="auto"/>
            <w:tcMar>
              <w:top w:w="0" w:type="dxa"/>
              <w:bottom w:w="0" w:type="dxa"/>
            </w:tcMar>
            <w:vAlign w:val="center"/>
          </w:tcPr>
          <w:p w14:paraId="7E99D6B2" w14:textId="77777777" w:rsidR="00F5650D" w:rsidRPr="00D97ED5" w:rsidRDefault="00F5650D" w:rsidP="007509CE">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D97ED5">
              <w:rPr>
                <w:rFonts w:ascii="Arial" w:hAnsi="Arial" w:cs="Arial"/>
                <w:color w:val="010000"/>
                <w:sz w:val="20"/>
                <w:szCs w:val="20"/>
              </w:rPr>
              <w:t>-33,481,640</w:t>
            </w:r>
          </w:p>
        </w:tc>
        <w:tc>
          <w:tcPr>
            <w:tcW w:w="1526" w:type="dxa"/>
            <w:shd w:val="clear" w:color="auto" w:fill="auto"/>
            <w:tcMar>
              <w:top w:w="0" w:type="dxa"/>
              <w:bottom w:w="0" w:type="dxa"/>
            </w:tcMar>
            <w:vAlign w:val="center"/>
          </w:tcPr>
          <w:p w14:paraId="6ECE7102" w14:textId="77777777" w:rsidR="00F5650D" w:rsidRPr="00D97ED5" w:rsidRDefault="00F5650D" w:rsidP="007509CE">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D97ED5">
              <w:rPr>
                <w:rFonts w:ascii="Arial" w:hAnsi="Arial" w:cs="Arial"/>
                <w:color w:val="010000"/>
                <w:sz w:val="20"/>
                <w:szCs w:val="20"/>
              </w:rPr>
              <w:t>21,185,408</w:t>
            </w:r>
          </w:p>
        </w:tc>
        <w:tc>
          <w:tcPr>
            <w:tcW w:w="1510" w:type="dxa"/>
            <w:shd w:val="clear" w:color="auto" w:fill="auto"/>
            <w:tcMar>
              <w:top w:w="0" w:type="dxa"/>
              <w:bottom w:w="0" w:type="dxa"/>
            </w:tcMar>
            <w:vAlign w:val="center"/>
          </w:tcPr>
          <w:p w14:paraId="00D24DCB" w14:textId="77777777" w:rsidR="00F5650D" w:rsidRPr="00D97ED5" w:rsidRDefault="00F5650D" w:rsidP="007509CE">
            <w:pPr>
              <w:tabs>
                <w:tab w:val="left" w:pos="284"/>
              </w:tabs>
              <w:spacing w:after="120" w:line="360" w:lineRule="auto"/>
              <w:jc w:val="both"/>
              <w:rPr>
                <w:rFonts w:ascii="Arial" w:eastAsia="Arial" w:hAnsi="Arial" w:cs="Arial"/>
                <w:color w:val="010000"/>
                <w:sz w:val="20"/>
                <w:szCs w:val="20"/>
              </w:rPr>
            </w:pPr>
          </w:p>
        </w:tc>
      </w:tr>
      <w:tr w:rsidR="005E5AA5" w:rsidRPr="00D97ED5" w14:paraId="50DBEE9A" w14:textId="77777777">
        <w:tc>
          <w:tcPr>
            <w:tcW w:w="508" w:type="dxa"/>
            <w:shd w:val="clear" w:color="auto" w:fill="auto"/>
            <w:tcMar>
              <w:top w:w="0" w:type="dxa"/>
              <w:bottom w:w="0" w:type="dxa"/>
            </w:tcMar>
            <w:vAlign w:val="center"/>
          </w:tcPr>
          <w:p w14:paraId="3D67BC53" w14:textId="77777777" w:rsidR="005E5AA5" w:rsidRPr="00D97ED5" w:rsidRDefault="00C153A8" w:rsidP="007509CE">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D97ED5">
              <w:rPr>
                <w:rFonts w:ascii="Arial" w:hAnsi="Arial" w:cs="Arial"/>
                <w:color w:val="010000"/>
                <w:sz w:val="20"/>
                <w:szCs w:val="20"/>
              </w:rPr>
              <w:t>6</w:t>
            </w:r>
          </w:p>
        </w:tc>
        <w:tc>
          <w:tcPr>
            <w:tcW w:w="2993" w:type="dxa"/>
            <w:shd w:val="clear" w:color="auto" w:fill="auto"/>
            <w:tcMar>
              <w:top w:w="0" w:type="dxa"/>
              <w:bottom w:w="0" w:type="dxa"/>
            </w:tcMar>
            <w:vAlign w:val="center"/>
          </w:tcPr>
          <w:p w14:paraId="4FB0A1CB" w14:textId="77777777" w:rsidR="005E5AA5" w:rsidRPr="00D97ED5" w:rsidRDefault="00C153A8" w:rsidP="007509CE">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D97ED5">
              <w:rPr>
                <w:rFonts w:ascii="Arial" w:hAnsi="Arial" w:cs="Arial"/>
                <w:color w:val="010000"/>
                <w:sz w:val="20"/>
                <w:szCs w:val="20"/>
              </w:rPr>
              <w:t>Profit after tax/owners’ contributed equity rate</w:t>
            </w:r>
          </w:p>
        </w:tc>
        <w:tc>
          <w:tcPr>
            <w:tcW w:w="862" w:type="dxa"/>
            <w:shd w:val="clear" w:color="auto" w:fill="auto"/>
            <w:tcMar>
              <w:top w:w="0" w:type="dxa"/>
              <w:bottom w:w="0" w:type="dxa"/>
            </w:tcMar>
            <w:vAlign w:val="center"/>
          </w:tcPr>
          <w:p w14:paraId="463BBE9D" w14:textId="77777777" w:rsidR="005E5AA5" w:rsidRPr="00D97ED5" w:rsidRDefault="00C153A8" w:rsidP="007509CE">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D97ED5">
              <w:rPr>
                <w:rFonts w:ascii="Arial" w:hAnsi="Arial" w:cs="Arial"/>
                <w:color w:val="010000"/>
                <w:sz w:val="20"/>
                <w:szCs w:val="20"/>
              </w:rPr>
              <w:t>%</w:t>
            </w:r>
          </w:p>
        </w:tc>
        <w:tc>
          <w:tcPr>
            <w:tcW w:w="1618" w:type="dxa"/>
            <w:shd w:val="clear" w:color="auto" w:fill="auto"/>
            <w:tcMar>
              <w:top w:w="0" w:type="dxa"/>
              <w:bottom w:w="0" w:type="dxa"/>
            </w:tcMar>
            <w:vAlign w:val="center"/>
          </w:tcPr>
          <w:p w14:paraId="7D0C6D04" w14:textId="77777777" w:rsidR="005E5AA5" w:rsidRPr="00D97ED5" w:rsidRDefault="00C153A8" w:rsidP="007509CE">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D97ED5">
              <w:rPr>
                <w:rFonts w:ascii="Arial" w:hAnsi="Arial" w:cs="Arial"/>
                <w:color w:val="010000"/>
                <w:sz w:val="20"/>
                <w:szCs w:val="20"/>
              </w:rPr>
              <w:t>-31%</w:t>
            </w:r>
          </w:p>
        </w:tc>
        <w:tc>
          <w:tcPr>
            <w:tcW w:w="1526" w:type="dxa"/>
            <w:shd w:val="clear" w:color="auto" w:fill="auto"/>
            <w:tcMar>
              <w:top w:w="0" w:type="dxa"/>
              <w:bottom w:w="0" w:type="dxa"/>
            </w:tcMar>
            <w:vAlign w:val="center"/>
          </w:tcPr>
          <w:p w14:paraId="60BF2671" w14:textId="77777777" w:rsidR="005E5AA5" w:rsidRPr="00D97ED5" w:rsidRDefault="00C153A8" w:rsidP="007509CE">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D97ED5">
              <w:rPr>
                <w:rFonts w:ascii="Arial" w:hAnsi="Arial" w:cs="Arial"/>
                <w:color w:val="010000"/>
                <w:sz w:val="20"/>
                <w:szCs w:val="20"/>
              </w:rPr>
              <w:t>20%</w:t>
            </w:r>
          </w:p>
        </w:tc>
        <w:tc>
          <w:tcPr>
            <w:tcW w:w="1510" w:type="dxa"/>
            <w:shd w:val="clear" w:color="auto" w:fill="auto"/>
            <w:tcMar>
              <w:top w:w="0" w:type="dxa"/>
              <w:bottom w:w="0" w:type="dxa"/>
            </w:tcMar>
            <w:vAlign w:val="center"/>
          </w:tcPr>
          <w:p w14:paraId="20329DC9" w14:textId="77777777" w:rsidR="005E5AA5" w:rsidRPr="00D97ED5" w:rsidRDefault="005E5AA5" w:rsidP="007509CE">
            <w:pPr>
              <w:tabs>
                <w:tab w:val="left" w:pos="284"/>
              </w:tabs>
              <w:spacing w:after="120" w:line="360" w:lineRule="auto"/>
              <w:jc w:val="both"/>
              <w:rPr>
                <w:rFonts w:ascii="Arial" w:eastAsia="Arial" w:hAnsi="Arial" w:cs="Arial"/>
                <w:color w:val="010000"/>
                <w:sz w:val="20"/>
                <w:szCs w:val="20"/>
              </w:rPr>
            </w:pPr>
          </w:p>
        </w:tc>
      </w:tr>
      <w:tr w:rsidR="00F5650D" w:rsidRPr="00D97ED5" w14:paraId="2FD29F37" w14:textId="77777777" w:rsidTr="0009484D">
        <w:tc>
          <w:tcPr>
            <w:tcW w:w="508" w:type="dxa"/>
            <w:shd w:val="clear" w:color="auto" w:fill="auto"/>
            <w:tcMar>
              <w:top w:w="0" w:type="dxa"/>
              <w:bottom w:w="0" w:type="dxa"/>
            </w:tcMar>
            <w:vAlign w:val="center"/>
          </w:tcPr>
          <w:p w14:paraId="205D67D5" w14:textId="77777777" w:rsidR="00F5650D" w:rsidRPr="00D97ED5" w:rsidRDefault="00F5650D" w:rsidP="007509CE">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D97ED5">
              <w:rPr>
                <w:rFonts w:ascii="Arial" w:hAnsi="Arial" w:cs="Arial"/>
                <w:color w:val="010000"/>
                <w:sz w:val="20"/>
                <w:szCs w:val="20"/>
              </w:rPr>
              <w:t>7</w:t>
            </w:r>
          </w:p>
        </w:tc>
        <w:tc>
          <w:tcPr>
            <w:tcW w:w="2993" w:type="dxa"/>
            <w:shd w:val="clear" w:color="auto" w:fill="auto"/>
            <w:tcMar>
              <w:top w:w="0" w:type="dxa"/>
              <w:bottom w:w="0" w:type="dxa"/>
            </w:tcMar>
            <w:vAlign w:val="center"/>
          </w:tcPr>
          <w:p w14:paraId="3A6520B5" w14:textId="77777777" w:rsidR="00F5650D" w:rsidRPr="00D97ED5" w:rsidRDefault="00F5650D" w:rsidP="007509CE">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D97ED5">
              <w:rPr>
                <w:rFonts w:ascii="Arial" w:hAnsi="Arial" w:cs="Arial"/>
                <w:color w:val="010000"/>
                <w:sz w:val="20"/>
                <w:szCs w:val="20"/>
              </w:rPr>
              <w:t>Payables to the State budget</w:t>
            </w:r>
          </w:p>
        </w:tc>
        <w:tc>
          <w:tcPr>
            <w:tcW w:w="862" w:type="dxa"/>
            <w:shd w:val="clear" w:color="auto" w:fill="auto"/>
            <w:tcMar>
              <w:top w:w="0" w:type="dxa"/>
              <w:bottom w:w="0" w:type="dxa"/>
            </w:tcMar>
          </w:tcPr>
          <w:p w14:paraId="54A4A0C9" w14:textId="40DD6183" w:rsidR="00F5650D" w:rsidRPr="00D97ED5" w:rsidRDefault="00F5650D" w:rsidP="007509CE">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D97ED5">
              <w:rPr>
                <w:rFonts w:ascii="Arial" w:hAnsi="Arial" w:cs="Arial"/>
                <w:color w:val="010000"/>
                <w:sz w:val="20"/>
                <w:szCs w:val="20"/>
              </w:rPr>
              <w:t>Thousand VND</w:t>
            </w:r>
          </w:p>
        </w:tc>
        <w:tc>
          <w:tcPr>
            <w:tcW w:w="1618" w:type="dxa"/>
            <w:shd w:val="clear" w:color="auto" w:fill="auto"/>
            <w:tcMar>
              <w:top w:w="0" w:type="dxa"/>
              <w:bottom w:w="0" w:type="dxa"/>
            </w:tcMar>
            <w:vAlign w:val="center"/>
          </w:tcPr>
          <w:p w14:paraId="4AB9217A" w14:textId="77777777" w:rsidR="00F5650D" w:rsidRPr="00D97ED5" w:rsidRDefault="00F5650D" w:rsidP="007509CE">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D97ED5">
              <w:rPr>
                <w:rFonts w:ascii="Arial" w:hAnsi="Arial" w:cs="Arial"/>
                <w:color w:val="010000"/>
                <w:sz w:val="20"/>
                <w:szCs w:val="20"/>
              </w:rPr>
              <w:t>22,344,848</w:t>
            </w:r>
          </w:p>
        </w:tc>
        <w:tc>
          <w:tcPr>
            <w:tcW w:w="1526" w:type="dxa"/>
            <w:shd w:val="clear" w:color="auto" w:fill="auto"/>
            <w:tcMar>
              <w:top w:w="0" w:type="dxa"/>
              <w:bottom w:w="0" w:type="dxa"/>
            </w:tcMar>
            <w:vAlign w:val="center"/>
          </w:tcPr>
          <w:p w14:paraId="3B4612B9" w14:textId="77777777" w:rsidR="00F5650D" w:rsidRPr="00D97ED5" w:rsidRDefault="00F5650D" w:rsidP="007509CE">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D97ED5">
              <w:rPr>
                <w:rFonts w:ascii="Arial" w:hAnsi="Arial" w:cs="Arial"/>
                <w:color w:val="010000"/>
                <w:sz w:val="20"/>
                <w:szCs w:val="20"/>
              </w:rPr>
              <w:t>30,000,000</w:t>
            </w:r>
          </w:p>
        </w:tc>
        <w:tc>
          <w:tcPr>
            <w:tcW w:w="1510" w:type="dxa"/>
            <w:shd w:val="clear" w:color="auto" w:fill="auto"/>
            <w:tcMar>
              <w:top w:w="0" w:type="dxa"/>
              <w:bottom w:w="0" w:type="dxa"/>
            </w:tcMar>
            <w:vAlign w:val="center"/>
          </w:tcPr>
          <w:p w14:paraId="0A490F0A" w14:textId="77777777" w:rsidR="00F5650D" w:rsidRPr="00D97ED5" w:rsidRDefault="00F5650D" w:rsidP="007509CE">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D97ED5">
              <w:rPr>
                <w:rFonts w:ascii="Arial" w:hAnsi="Arial" w:cs="Arial"/>
                <w:color w:val="010000"/>
                <w:sz w:val="20"/>
                <w:szCs w:val="20"/>
              </w:rPr>
              <w:t>134%</w:t>
            </w:r>
          </w:p>
        </w:tc>
      </w:tr>
      <w:tr w:rsidR="00F5650D" w:rsidRPr="00D97ED5" w14:paraId="57DE0C84" w14:textId="77777777" w:rsidTr="0009484D">
        <w:tc>
          <w:tcPr>
            <w:tcW w:w="508" w:type="dxa"/>
            <w:shd w:val="clear" w:color="auto" w:fill="auto"/>
            <w:tcMar>
              <w:top w:w="0" w:type="dxa"/>
              <w:bottom w:w="0" w:type="dxa"/>
            </w:tcMar>
            <w:vAlign w:val="center"/>
          </w:tcPr>
          <w:p w14:paraId="3E32DDBE" w14:textId="77777777" w:rsidR="00F5650D" w:rsidRPr="00D97ED5" w:rsidRDefault="00F5650D" w:rsidP="007509CE">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D97ED5">
              <w:rPr>
                <w:rFonts w:ascii="Arial" w:hAnsi="Arial" w:cs="Arial"/>
                <w:color w:val="010000"/>
                <w:sz w:val="20"/>
                <w:szCs w:val="20"/>
              </w:rPr>
              <w:t>8</w:t>
            </w:r>
          </w:p>
        </w:tc>
        <w:tc>
          <w:tcPr>
            <w:tcW w:w="2993" w:type="dxa"/>
            <w:shd w:val="clear" w:color="auto" w:fill="auto"/>
            <w:tcMar>
              <w:top w:w="0" w:type="dxa"/>
              <w:bottom w:w="0" w:type="dxa"/>
            </w:tcMar>
            <w:vAlign w:val="center"/>
          </w:tcPr>
          <w:p w14:paraId="407196EB" w14:textId="77777777" w:rsidR="00F5650D" w:rsidRPr="00D97ED5" w:rsidRDefault="00F5650D" w:rsidP="007509CE">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D97ED5">
              <w:rPr>
                <w:rFonts w:ascii="Arial" w:hAnsi="Arial" w:cs="Arial"/>
                <w:color w:val="010000"/>
                <w:sz w:val="20"/>
                <w:szCs w:val="20"/>
              </w:rPr>
              <w:t>Total salary fund</w:t>
            </w:r>
          </w:p>
        </w:tc>
        <w:tc>
          <w:tcPr>
            <w:tcW w:w="862" w:type="dxa"/>
            <w:shd w:val="clear" w:color="auto" w:fill="auto"/>
            <w:tcMar>
              <w:top w:w="0" w:type="dxa"/>
              <w:bottom w:w="0" w:type="dxa"/>
            </w:tcMar>
          </w:tcPr>
          <w:p w14:paraId="60B7877E" w14:textId="078E4F22" w:rsidR="00F5650D" w:rsidRPr="00D97ED5" w:rsidRDefault="00F5650D" w:rsidP="007509CE">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D97ED5">
              <w:rPr>
                <w:rFonts w:ascii="Arial" w:hAnsi="Arial" w:cs="Arial"/>
                <w:color w:val="010000"/>
                <w:sz w:val="20"/>
                <w:szCs w:val="20"/>
              </w:rPr>
              <w:t>Thousand VND</w:t>
            </w:r>
          </w:p>
        </w:tc>
        <w:tc>
          <w:tcPr>
            <w:tcW w:w="1618" w:type="dxa"/>
            <w:shd w:val="clear" w:color="auto" w:fill="auto"/>
            <w:tcMar>
              <w:top w:w="0" w:type="dxa"/>
              <w:bottom w:w="0" w:type="dxa"/>
            </w:tcMar>
            <w:vAlign w:val="center"/>
          </w:tcPr>
          <w:p w14:paraId="7BD5C99B" w14:textId="77777777" w:rsidR="00F5650D" w:rsidRPr="00D97ED5" w:rsidRDefault="00F5650D" w:rsidP="007509CE">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D97ED5">
              <w:rPr>
                <w:rFonts w:ascii="Arial" w:hAnsi="Arial" w:cs="Arial"/>
                <w:color w:val="010000"/>
                <w:sz w:val="20"/>
                <w:szCs w:val="20"/>
              </w:rPr>
              <w:t>53,505,567</w:t>
            </w:r>
          </w:p>
        </w:tc>
        <w:tc>
          <w:tcPr>
            <w:tcW w:w="1526" w:type="dxa"/>
            <w:shd w:val="clear" w:color="auto" w:fill="auto"/>
            <w:tcMar>
              <w:top w:w="0" w:type="dxa"/>
              <w:bottom w:w="0" w:type="dxa"/>
            </w:tcMar>
            <w:vAlign w:val="center"/>
          </w:tcPr>
          <w:p w14:paraId="53A44188" w14:textId="77777777" w:rsidR="00F5650D" w:rsidRPr="00D97ED5" w:rsidRDefault="00F5650D" w:rsidP="007509CE">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D97ED5">
              <w:rPr>
                <w:rFonts w:ascii="Arial" w:hAnsi="Arial" w:cs="Arial"/>
                <w:color w:val="010000"/>
                <w:sz w:val="20"/>
                <w:szCs w:val="20"/>
              </w:rPr>
              <w:t>70,126,185</w:t>
            </w:r>
          </w:p>
        </w:tc>
        <w:tc>
          <w:tcPr>
            <w:tcW w:w="1510" w:type="dxa"/>
            <w:shd w:val="clear" w:color="auto" w:fill="auto"/>
            <w:tcMar>
              <w:top w:w="0" w:type="dxa"/>
              <w:bottom w:w="0" w:type="dxa"/>
            </w:tcMar>
            <w:vAlign w:val="center"/>
          </w:tcPr>
          <w:p w14:paraId="5F72F2EB" w14:textId="77777777" w:rsidR="00F5650D" w:rsidRPr="00D97ED5" w:rsidRDefault="00F5650D" w:rsidP="007509CE">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D97ED5">
              <w:rPr>
                <w:rFonts w:ascii="Arial" w:hAnsi="Arial" w:cs="Arial"/>
                <w:color w:val="010000"/>
                <w:sz w:val="20"/>
                <w:szCs w:val="20"/>
              </w:rPr>
              <w:t>131%</w:t>
            </w:r>
          </w:p>
        </w:tc>
      </w:tr>
      <w:tr w:rsidR="005E5AA5" w:rsidRPr="00D97ED5" w14:paraId="0BD07C14" w14:textId="77777777">
        <w:tc>
          <w:tcPr>
            <w:tcW w:w="508" w:type="dxa"/>
            <w:shd w:val="clear" w:color="auto" w:fill="auto"/>
            <w:tcMar>
              <w:top w:w="0" w:type="dxa"/>
              <w:bottom w:w="0" w:type="dxa"/>
            </w:tcMar>
            <w:vAlign w:val="center"/>
          </w:tcPr>
          <w:p w14:paraId="7C931A69" w14:textId="77777777" w:rsidR="005E5AA5" w:rsidRPr="00D97ED5" w:rsidRDefault="00C153A8" w:rsidP="007509CE">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D97ED5">
              <w:rPr>
                <w:rFonts w:ascii="Arial" w:hAnsi="Arial" w:cs="Arial"/>
                <w:color w:val="010000"/>
                <w:sz w:val="20"/>
                <w:szCs w:val="20"/>
              </w:rPr>
              <w:t>9</w:t>
            </w:r>
          </w:p>
        </w:tc>
        <w:tc>
          <w:tcPr>
            <w:tcW w:w="2993" w:type="dxa"/>
            <w:shd w:val="clear" w:color="auto" w:fill="auto"/>
            <w:tcMar>
              <w:top w:w="0" w:type="dxa"/>
              <w:bottom w:w="0" w:type="dxa"/>
            </w:tcMar>
            <w:vAlign w:val="center"/>
          </w:tcPr>
          <w:p w14:paraId="32693504" w14:textId="77777777" w:rsidR="005E5AA5" w:rsidRPr="00D97ED5" w:rsidRDefault="00C153A8" w:rsidP="007509CE">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D97ED5">
              <w:rPr>
                <w:rFonts w:ascii="Arial" w:hAnsi="Arial" w:cs="Arial"/>
                <w:color w:val="010000"/>
                <w:sz w:val="20"/>
                <w:szCs w:val="20"/>
              </w:rPr>
              <w:t>Average labor</w:t>
            </w:r>
          </w:p>
        </w:tc>
        <w:tc>
          <w:tcPr>
            <w:tcW w:w="862" w:type="dxa"/>
            <w:shd w:val="clear" w:color="auto" w:fill="auto"/>
            <w:tcMar>
              <w:top w:w="0" w:type="dxa"/>
              <w:bottom w:w="0" w:type="dxa"/>
            </w:tcMar>
            <w:vAlign w:val="center"/>
          </w:tcPr>
          <w:p w14:paraId="0923B27F" w14:textId="77777777" w:rsidR="005E5AA5" w:rsidRPr="00D97ED5" w:rsidRDefault="00C153A8" w:rsidP="007509CE">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D97ED5">
              <w:rPr>
                <w:rFonts w:ascii="Arial" w:hAnsi="Arial" w:cs="Arial"/>
                <w:color w:val="010000"/>
                <w:sz w:val="20"/>
                <w:szCs w:val="20"/>
              </w:rPr>
              <w:t>person</w:t>
            </w:r>
          </w:p>
        </w:tc>
        <w:tc>
          <w:tcPr>
            <w:tcW w:w="1618" w:type="dxa"/>
            <w:shd w:val="clear" w:color="auto" w:fill="auto"/>
            <w:tcMar>
              <w:top w:w="0" w:type="dxa"/>
              <w:bottom w:w="0" w:type="dxa"/>
            </w:tcMar>
            <w:vAlign w:val="center"/>
          </w:tcPr>
          <w:p w14:paraId="39837606" w14:textId="77777777" w:rsidR="005E5AA5" w:rsidRPr="00D97ED5" w:rsidRDefault="00C153A8" w:rsidP="007509CE">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D97ED5">
              <w:rPr>
                <w:rFonts w:ascii="Arial" w:hAnsi="Arial" w:cs="Arial"/>
                <w:color w:val="010000"/>
                <w:sz w:val="20"/>
                <w:szCs w:val="20"/>
              </w:rPr>
              <w:t>435</w:t>
            </w:r>
          </w:p>
        </w:tc>
        <w:tc>
          <w:tcPr>
            <w:tcW w:w="1526" w:type="dxa"/>
            <w:shd w:val="clear" w:color="auto" w:fill="auto"/>
            <w:tcMar>
              <w:top w:w="0" w:type="dxa"/>
              <w:bottom w:w="0" w:type="dxa"/>
            </w:tcMar>
            <w:vAlign w:val="center"/>
          </w:tcPr>
          <w:p w14:paraId="03538D63" w14:textId="77777777" w:rsidR="005E5AA5" w:rsidRPr="00D97ED5" w:rsidRDefault="00C153A8" w:rsidP="007509CE">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D97ED5">
              <w:rPr>
                <w:rFonts w:ascii="Arial" w:hAnsi="Arial" w:cs="Arial"/>
                <w:color w:val="010000"/>
                <w:sz w:val="20"/>
                <w:szCs w:val="20"/>
              </w:rPr>
              <w:t>435</w:t>
            </w:r>
          </w:p>
        </w:tc>
        <w:tc>
          <w:tcPr>
            <w:tcW w:w="1510" w:type="dxa"/>
            <w:shd w:val="clear" w:color="auto" w:fill="auto"/>
            <w:tcMar>
              <w:top w:w="0" w:type="dxa"/>
              <w:bottom w:w="0" w:type="dxa"/>
            </w:tcMar>
            <w:vAlign w:val="center"/>
          </w:tcPr>
          <w:p w14:paraId="3763D433" w14:textId="77777777" w:rsidR="005E5AA5" w:rsidRPr="00D97ED5" w:rsidRDefault="00C153A8" w:rsidP="007509CE">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D97ED5">
              <w:rPr>
                <w:rFonts w:ascii="Arial" w:hAnsi="Arial" w:cs="Arial"/>
                <w:color w:val="010000"/>
                <w:sz w:val="20"/>
                <w:szCs w:val="20"/>
              </w:rPr>
              <w:t>100%</w:t>
            </w:r>
          </w:p>
        </w:tc>
      </w:tr>
      <w:tr w:rsidR="005E5AA5" w:rsidRPr="00D97ED5" w14:paraId="51964D16" w14:textId="77777777">
        <w:tc>
          <w:tcPr>
            <w:tcW w:w="508" w:type="dxa"/>
            <w:shd w:val="clear" w:color="auto" w:fill="auto"/>
            <w:tcMar>
              <w:top w:w="0" w:type="dxa"/>
              <w:bottom w:w="0" w:type="dxa"/>
            </w:tcMar>
            <w:vAlign w:val="center"/>
          </w:tcPr>
          <w:p w14:paraId="5834C3AF" w14:textId="77777777" w:rsidR="005E5AA5" w:rsidRPr="00D97ED5" w:rsidRDefault="00C153A8" w:rsidP="007509CE">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D97ED5">
              <w:rPr>
                <w:rFonts w:ascii="Arial" w:hAnsi="Arial" w:cs="Arial"/>
                <w:color w:val="010000"/>
                <w:sz w:val="20"/>
                <w:szCs w:val="20"/>
              </w:rPr>
              <w:t>10</w:t>
            </w:r>
          </w:p>
        </w:tc>
        <w:tc>
          <w:tcPr>
            <w:tcW w:w="2993" w:type="dxa"/>
            <w:shd w:val="clear" w:color="auto" w:fill="auto"/>
            <w:tcMar>
              <w:top w:w="0" w:type="dxa"/>
              <w:bottom w:w="0" w:type="dxa"/>
            </w:tcMar>
            <w:vAlign w:val="center"/>
          </w:tcPr>
          <w:p w14:paraId="7B440828" w14:textId="77777777" w:rsidR="005E5AA5" w:rsidRPr="00D97ED5" w:rsidRDefault="00C153A8" w:rsidP="007509CE">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D97ED5">
              <w:rPr>
                <w:rFonts w:ascii="Arial" w:hAnsi="Arial" w:cs="Arial"/>
                <w:color w:val="010000"/>
                <w:sz w:val="20"/>
                <w:szCs w:val="20"/>
              </w:rPr>
              <w:t>Average income per month</w:t>
            </w:r>
          </w:p>
        </w:tc>
        <w:tc>
          <w:tcPr>
            <w:tcW w:w="862" w:type="dxa"/>
            <w:shd w:val="clear" w:color="auto" w:fill="auto"/>
            <w:tcMar>
              <w:top w:w="0" w:type="dxa"/>
              <w:bottom w:w="0" w:type="dxa"/>
            </w:tcMar>
            <w:vAlign w:val="center"/>
          </w:tcPr>
          <w:p w14:paraId="7BF9E2D5" w14:textId="77777777" w:rsidR="005E5AA5" w:rsidRPr="00D97ED5" w:rsidRDefault="00C153A8" w:rsidP="007509CE">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D97ED5">
              <w:rPr>
                <w:rFonts w:ascii="Arial" w:hAnsi="Arial" w:cs="Arial"/>
                <w:color w:val="010000"/>
                <w:sz w:val="20"/>
                <w:szCs w:val="20"/>
              </w:rPr>
              <w:t>VND/Person</w:t>
            </w:r>
          </w:p>
        </w:tc>
        <w:tc>
          <w:tcPr>
            <w:tcW w:w="1618" w:type="dxa"/>
            <w:shd w:val="clear" w:color="auto" w:fill="auto"/>
            <w:tcMar>
              <w:top w:w="0" w:type="dxa"/>
              <w:bottom w:w="0" w:type="dxa"/>
            </w:tcMar>
            <w:vAlign w:val="center"/>
          </w:tcPr>
          <w:p w14:paraId="3C8012C5" w14:textId="77777777" w:rsidR="005E5AA5" w:rsidRPr="00D97ED5" w:rsidRDefault="00C153A8" w:rsidP="007509CE">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D97ED5">
              <w:rPr>
                <w:rFonts w:ascii="Arial" w:hAnsi="Arial" w:cs="Arial"/>
                <w:color w:val="010000"/>
                <w:sz w:val="20"/>
                <w:szCs w:val="20"/>
              </w:rPr>
              <w:t>11,291,868</w:t>
            </w:r>
          </w:p>
        </w:tc>
        <w:tc>
          <w:tcPr>
            <w:tcW w:w="1526" w:type="dxa"/>
            <w:shd w:val="clear" w:color="auto" w:fill="auto"/>
            <w:tcMar>
              <w:top w:w="0" w:type="dxa"/>
              <w:bottom w:w="0" w:type="dxa"/>
            </w:tcMar>
            <w:vAlign w:val="center"/>
          </w:tcPr>
          <w:p w14:paraId="185CE01E" w14:textId="77777777" w:rsidR="005E5AA5" w:rsidRPr="00D97ED5" w:rsidRDefault="00C153A8" w:rsidP="007509CE">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D97ED5">
              <w:rPr>
                <w:rFonts w:ascii="Arial" w:hAnsi="Arial" w:cs="Arial"/>
                <w:color w:val="010000"/>
                <w:sz w:val="20"/>
                <w:szCs w:val="20"/>
              </w:rPr>
              <w:t>14,244,754</w:t>
            </w:r>
          </w:p>
        </w:tc>
        <w:tc>
          <w:tcPr>
            <w:tcW w:w="1510" w:type="dxa"/>
            <w:shd w:val="clear" w:color="auto" w:fill="auto"/>
            <w:tcMar>
              <w:top w:w="0" w:type="dxa"/>
              <w:bottom w:w="0" w:type="dxa"/>
            </w:tcMar>
            <w:vAlign w:val="center"/>
          </w:tcPr>
          <w:p w14:paraId="3E0E9C7D" w14:textId="77777777" w:rsidR="005E5AA5" w:rsidRPr="00D97ED5" w:rsidRDefault="00C153A8" w:rsidP="007509CE">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D97ED5">
              <w:rPr>
                <w:rFonts w:ascii="Arial" w:hAnsi="Arial" w:cs="Arial"/>
                <w:color w:val="010000"/>
                <w:sz w:val="20"/>
                <w:szCs w:val="20"/>
              </w:rPr>
              <w:t>126%</w:t>
            </w:r>
          </w:p>
        </w:tc>
      </w:tr>
    </w:tbl>
    <w:p w14:paraId="0E18317E" w14:textId="77777777" w:rsidR="005E5AA5" w:rsidRPr="00D97ED5" w:rsidRDefault="00C153A8" w:rsidP="007509CE">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D97ED5">
        <w:rPr>
          <w:rFonts w:ascii="Arial" w:hAnsi="Arial" w:cs="Arial"/>
          <w:color w:val="010000"/>
          <w:sz w:val="20"/>
          <w:szCs w:val="20"/>
        </w:rPr>
        <w:t>‎‎Article 2. Approve the content of the Supervisory Board's report:</w:t>
      </w:r>
    </w:p>
    <w:p w14:paraId="21F001E4" w14:textId="77777777" w:rsidR="005E5AA5" w:rsidRPr="00D97ED5" w:rsidRDefault="00C153A8" w:rsidP="007509CE">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D97ED5">
        <w:rPr>
          <w:rFonts w:ascii="Arial" w:hAnsi="Arial" w:cs="Arial"/>
          <w:color w:val="010000"/>
          <w:sz w:val="20"/>
          <w:szCs w:val="20"/>
        </w:rPr>
        <w:t>‎‎Article 3. Approve the Audited Financial Statements 2023, profit distribution 2023, and profit distribution plan 2024:</w:t>
      </w:r>
    </w:p>
    <w:p w14:paraId="0F854041" w14:textId="77777777" w:rsidR="005E5AA5" w:rsidRPr="00D97ED5" w:rsidRDefault="00C153A8" w:rsidP="007509CE">
      <w:pPr>
        <w:numPr>
          <w:ilvl w:val="0"/>
          <w:numId w:val="4"/>
        </w:numPr>
        <w:pBdr>
          <w:top w:val="nil"/>
          <w:left w:val="nil"/>
          <w:bottom w:val="nil"/>
          <w:right w:val="nil"/>
          <w:between w:val="nil"/>
        </w:pBdr>
        <w:tabs>
          <w:tab w:val="left" w:pos="284"/>
        </w:tabs>
        <w:spacing w:after="120" w:line="360" w:lineRule="auto"/>
        <w:ind w:left="0" w:firstLine="0"/>
        <w:jc w:val="both"/>
        <w:rPr>
          <w:rFonts w:ascii="Arial" w:eastAsia="Arial" w:hAnsi="Arial" w:cs="Arial"/>
          <w:color w:val="010000"/>
          <w:sz w:val="20"/>
          <w:szCs w:val="20"/>
        </w:rPr>
      </w:pPr>
      <w:r w:rsidRPr="00D97ED5">
        <w:rPr>
          <w:rFonts w:ascii="Arial" w:hAnsi="Arial" w:cs="Arial"/>
          <w:color w:val="010000"/>
          <w:sz w:val="20"/>
          <w:szCs w:val="20"/>
        </w:rPr>
        <w:t>The Audited Financial Statements 2023.</w:t>
      </w:r>
    </w:p>
    <w:p w14:paraId="05FEA87A" w14:textId="3F3E7C39" w:rsidR="005E5AA5" w:rsidRPr="00D97ED5" w:rsidRDefault="00C153A8" w:rsidP="007509CE">
      <w:pPr>
        <w:numPr>
          <w:ilvl w:val="0"/>
          <w:numId w:val="1"/>
        </w:numPr>
        <w:pBdr>
          <w:top w:val="nil"/>
          <w:left w:val="nil"/>
          <w:bottom w:val="nil"/>
          <w:right w:val="nil"/>
          <w:between w:val="nil"/>
        </w:pBdr>
        <w:tabs>
          <w:tab w:val="left" w:pos="284"/>
        </w:tabs>
        <w:spacing w:after="120" w:line="360" w:lineRule="auto"/>
        <w:ind w:left="0" w:firstLine="0"/>
        <w:jc w:val="both"/>
        <w:rPr>
          <w:rFonts w:ascii="Arial" w:eastAsia="Arial" w:hAnsi="Arial" w:cs="Arial"/>
          <w:color w:val="010000"/>
          <w:sz w:val="20"/>
          <w:szCs w:val="20"/>
        </w:rPr>
      </w:pPr>
      <w:r w:rsidRPr="00D97ED5">
        <w:rPr>
          <w:rFonts w:ascii="Arial" w:hAnsi="Arial" w:cs="Arial"/>
          <w:color w:val="010000"/>
          <w:sz w:val="20"/>
          <w:szCs w:val="20"/>
        </w:rPr>
        <w:t>Approve the Consolidated Financial Statements 2023 audited by AASC Auditing Firm Company Limited</w:t>
      </w:r>
      <w:r w:rsidR="00F5650D" w:rsidRPr="00D97ED5">
        <w:rPr>
          <w:rFonts w:ascii="Arial" w:hAnsi="Arial" w:cs="Arial"/>
          <w:color w:val="010000"/>
          <w:sz w:val="20"/>
          <w:szCs w:val="20"/>
        </w:rPr>
        <w:t xml:space="preserve"> at the Independent Auditing Report No. 060324.003/BCTC.HCM signed on March 6, 2024</w:t>
      </w:r>
    </w:p>
    <w:p w14:paraId="1591FFE7" w14:textId="22D024F3" w:rsidR="005E5AA5" w:rsidRPr="00D97ED5" w:rsidRDefault="00C153A8" w:rsidP="007509CE">
      <w:pPr>
        <w:numPr>
          <w:ilvl w:val="0"/>
          <w:numId w:val="1"/>
        </w:numPr>
        <w:pBdr>
          <w:top w:val="nil"/>
          <w:left w:val="nil"/>
          <w:bottom w:val="nil"/>
          <w:right w:val="nil"/>
          <w:between w:val="nil"/>
        </w:pBdr>
        <w:tabs>
          <w:tab w:val="left" w:pos="284"/>
        </w:tabs>
        <w:spacing w:after="120" w:line="360" w:lineRule="auto"/>
        <w:ind w:left="0" w:firstLine="0"/>
        <w:jc w:val="both"/>
        <w:rPr>
          <w:rFonts w:ascii="Arial" w:eastAsia="Arial" w:hAnsi="Arial" w:cs="Arial"/>
          <w:color w:val="010000"/>
          <w:sz w:val="20"/>
          <w:szCs w:val="20"/>
        </w:rPr>
      </w:pPr>
      <w:r w:rsidRPr="00D97ED5">
        <w:rPr>
          <w:rFonts w:ascii="Arial" w:hAnsi="Arial" w:cs="Arial"/>
          <w:color w:val="010000"/>
          <w:sz w:val="20"/>
          <w:szCs w:val="20"/>
        </w:rPr>
        <w:t>Approve the Separate Financial Statements 2023 audited by AASC Auditing Firm Company Limited</w:t>
      </w:r>
      <w:r w:rsidR="00F5650D" w:rsidRPr="00D97ED5">
        <w:rPr>
          <w:rFonts w:ascii="Arial" w:hAnsi="Arial" w:cs="Arial"/>
          <w:color w:val="010000"/>
          <w:sz w:val="20"/>
          <w:szCs w:val="20"/>
        </w:rPr>
        <w:t xml:space="preserve"> at the Independent Auditing Report No. 060324.003/BCTC.HCM signed on March 6, 2024</w:t>
      </w:r>
    </w:p>
    <w:p w14:paraId="1D130182" w14:textId="77777777" w:rsidR="005E5AA5" w:rsidRPr="00D97ED5" w:rsidRDefault="00C153A8" w:rsidP="007509CE">
      <w:pPr>
        <w:numPr>
          <w:ilvl w:val="0"/>
          <w:numId w:val="4"/>
        </w:numPr>
        <w:pBdr>
          <w:top w:val="nil"/>
          <w:left w:val="nil"/>
          <w:bottom w:val="nil"/>
          <w:right w:val="nil"/>
          <w:between w:val="nil"/>
        </w:pBdr>
        <w:tabs>
          <w:tab w:val="left" w:pos="284"/>
        </w:tabs>
        <w:spacing w:after="120" w:line="360" w:lineRule="auto"/>
        <w:ind w:left="0" w:firstLine="0"/>
        <w:jc w:val="both"/>
        <w:rPr>
          <w:rFonts w:ascii="Arial" w:eastAsia="Arial" w:hAnsi="Arial" w:cs="Arial"/>
          <w:color w:val="010000"/>
          <w:sz w:val="20"/>
          <w:szCs w:val="20"/>
        </w:rPr>
      </w:pPr>
      <w:r w:rsidRPr="00D97ED5">
        <w:rPr>
          <w:rFonts w:ascii="Arial" w:hAnsi="Arial" w:cs="Arial"/>
          <w:color w:val="010000"/>
          <w:sz w:val="20"/>
          <w:szCs w:val="20"/>
        </w:rPr>
        <w:lastRenderedPageBreak/>
        <w:t>Profit distribution in 2023 and profit distribution plan in 2024</w:t>
      </w:r>
    </w:p>
    <w:p w14:paraId="7D2DA1BA" w14:textId="77777777" w:rsidR="005E5AA5" w:rsidRPr="00D97ED5" w:rsidRDefault="00C153A8" w:rsidP="007509CE">
      <w:pPr>
        <w:numPr>
          <w:ilvl w:val="0"/>
          <w:numId w:val="1"/>
        </w:numPr>
        <w:pBdr>
          <w:top w:val="nil"/>
          <w:left w:val="nil"/>
          <w:bottom w:val="nil"/>
          <w:right w:val="nil"/>
          <w:between w:val="nil"/>
        </w:pBdr>
        <w:tabs>
          <w:tab w:val="left" w:pos="284"/>
        </w:tabs>
        <w:spacing w:after="120" w:line="360" w:lineRule="auto"/>
        <w:ind w:left="0" w:firstLine="0"/>
        <w:jc w:val="both"/>
        <w:rPr>
          <w:rFonts w:ascii="Arial" w:eastAsia="Arial" w:hAnsi="Arial" w:cs="Arial"/>
          <w:color w:val="010000"/>
          <w:sz w:val="20"/>
          <w:szCs w:val="20"/>
        </w:rPr>
      </w:pPr>
      <w:r w:rsidRPr="00D97ED5">
        <w:rPr>
          <w:rFonts w:ascii="Arial" w:hAnsi="Arial" w:cs="Arial"/>
          <w:color w:val="010000"/>
          <w:sz w:val="20"/>
          <w:szCs w:val="20"/>
        </w:rPr>
        <w:t>Profit distributed in 2023</w:t>
      </w:r>
    </w:p>
    <w:tbl>
      <w:tblPr>
        <w:tblStyle w:val="a1"/>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3"/>
        <w:gridCol w:w="4296"/>
        <w:gridCol w:w="1937"/>
        <w:gridCol w:w="2251"/>
      </w:tblGrid>
      <w:tr w:rsidR="005E5AA5" w:rsidRPr="00D97ED5" w14:paraId="00E75125" w14:textId="77777777">
        <w:tc>
          <w:tcPr>
            <w:tcW w:w="533" w:type="dxa"/>
            <w:shd w:val="clear" w:color="auto" w:fill="auto"/>
            <w:tcMar>
              <w:top w:w="0" w:type="dxa"/>
              <w:bottom w:w="0" w:type="dxa"/>
            </w:tcMar>
            <w:vAlign w:val="center"/>
          </w:tcPr>
          <w:p w14:paraId="5AA2640A" w14:textId="77777777" w:rsidR="005E5AA5" w:rsidRPr="00D97ED5" w:rsidRDefault="00C153A8" w:rsidP="007509CE">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D97ED5">
              <w:rPr>
                <w:rFonts w:ascii="Arial" w:hAnsi="Arial" w:cs="Arial"/>
                <w:color w:val="010000"/>
                <w:sz w:val="20"/>
                <w:szCs w:val="20"/>
              </w:rPr>
              <w:t>No.</w:t>
            </w:r>
          </w:p>
        </w:tc>
        <w:tc>
          <w:tcPr>
            <w:tcW w:w="4296" w:type="dxa"/>
            <w:shd w:val="clear" w:color="auto" w:fill="auto"/>
            <w:tcMar>
              <w:top w:w="0" w:type="dxa"/>
              <w:bottom w:w="0" w:type="dxa"/>
            </w:tcMar>
            <w:vAlign w:val="center"/>
          </w:tcPr>
          <w:p w14:paraId="22E4BD0F" w14:textId="77777777" w:rsidR="005E5AA5" w:rsidRPr="00D97ED5" w:rsidRDefault="00C153A8" w:rsidP="007509CE">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D97ED5">
              <w:rPr>
                <w:rFonts w:ascii="Arial" w:hAnsi="Arial" w:cs="Arial"/>
                <w:color w:val="010000"/>
                <w:sz w:val="20"/>
                <w:szCs w:val="20"/>
              </w:rPr>
              <w:t>Targets</w:t>
            </w:r>
          </w:p>
        </w:tc>
        <w:tc>
          <w:tcPr>
            <w:tcW w:w="1937" w:type="dxa"/>
            <w:shd w:val="clear" w:color="auto" w:fill="auto"/>
            <w:tcMar>
              <w:top w:w="0" w:type="dxa"/>
              <w:bottom w:w="0" w:type="dxa"/>
            </w:tcMar>
            <w:vAlign w:val="center"/>
          </w:tcPr>
          <w:p w14:paraId="3C35B1BB" w14:textId="77777777" w:rsidR="005E5AA5" w:rsidRPr="00D97ED5" w:rsidRDefault="00C153A8" w:rsidP="007509CE">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D97ED5">
              <w:rPr>
                <w:rFonts w:ascii="Arial" w:hAnsi="Arial" w:cs="Arial"/>
                <w:color w:val="010000"/>
                <w:sz w:val="20"/>
                <w:szCs w:val="20"/>
              </w:rPr>
              <w:t>Amount (VND)</w:t>
            </w:r>
          </w:p>
        </w:tc>
        <w:tc>
          <w:tcPr>
            <w:tcW w:w="2251" w:type="dxa"/>
            <w:shd w:val="clear" w:color="auto" w:fill="auto"/>
            <w:tcMar>
              <w:top w:w="0" w:type="dxa"/>
              <w:bottom w:w="0" w:type="dxa"/>
            </w:tcMar>
            <w:vAlign w:val="center"/>
          </w:tcPr>
          <w:p w14:paraId="72F01F22" w14:textId="77777777" w:rsidR="005E5AA5" w:rsidRPr="00D97ED5" w:rsidRDefault="00C153A8" w:rsidP="007509CE">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D97ED5">
              <w:rPr>
                <w:rFonts w:ascii="Arial" w:hAnsi="Arial" w:cs="Arial"/>
                <w:color w:val="010000"/>
                <w:sz w:val="20"/>
                <w:szCs w:val="20"/>
              </w:rPr>
              <w:t>Note</w:t>
            </w:r>
          </w:p>
        </w:tc>
      </w:tr>
      <w:tr w:rsidR="005E5AA5" w:rsidRPr="00D97ED5" w14:paraId="7BDAF4D0" w14:textId="77777777">
        <w:tc>
          <w:tcPr>
            <w:tcW w:w="533" w:type="dxa"/>
            <w:shd w:val="clear" w:color="auto" w:fill="auto"/>
            <w:tcMar>
              <w:top w:w="0" w:type="dxa"/>
              <w:bottom w:w="0" w:type="dxa"/>
            </w:tcMar>
            <w:vAlign w:val="center"/>
          </w:tcPr>
          <w:p w14:paraId="45209A3C" w14:textId="77777777" w:rsidR="005E5AA5" w:rsidRPr="00D97ED5" w:rsidRDefault="00C153A8" w:rsidP="007509CE">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D97ED5">
              <w:rPr>
                <w:rFonts w:ascii="Arial" w:hAnsi="Arial" w:cs="Arial"/>
                <w:color w:val="010000"/>
                <w:sz w:val="20"/>
                <w:szCs w:val="20"/>
              </w:rPr>
              <w:t>1</w:t>
            </w:r>
          </w:p>
        </w:tc>
        <w:tc>
          <w:tcPr>
            <w:tcW w:w="4296" w:type="dxa"/>
            <w:shd w:val="clear" w:color="auto" w:fill="auto"/>
            <w:tcMar>
              <w:top w:w="0" w:type="dxa"/>
              <w:bottom w:w="0" w:type="dxa"/>
            </w:tcMar>
            <w:vAlign w:val="center"/>
          </w:tcPr>
          <w:p w14:paraId="0EC9C691" w14:textId="77777777" w:rsidR="005E5AA5" w:rsidRPr="00D97ED5" w:rsidRDefault="00C153A8" w:rsidP="007509CE">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D97ED5">
              <w:rPr>
                <w:rFonts w:ascii="Arial" w:hAnsi="Arial" w:cs="Arial"/>
                <w:color w:val="010000"/>
                <w:sz w:val="20"/>
                <w:szCs w:val="20"/>
              </w:rPr>
              <w:t>Undistributed remaining profits from 2022 and earlier (1) - (2)</w:t>
            </w:r>
          </w:p>
        </w:tc>
        <w:tc>
          <w:tcPr>
            <w:tcW w:w="1937" w:type="dxa"/>
            <w:shd w:val="clear" w:color="auto" w:fill="auto"/>
            <w:tcMar>
              <w:top w:w="0" w:type="dxa"/>
              <w:bottom w:w="0" w:type="dxa"/>
            </w:tcMar>
            <w:vAlign w:val="center"/>
          </w:tcPr>
          <w:p w14:paraId="6DD374A7" w14:textId="77777777" w:rsidR="005E5AA5" w:rsidRPr="00D97ED5" w:rsidRDefault="00C153A8" w:rsidP="007509CE">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D97ED5">
              <w:rPr>
                <w:rFonts w:ascii="Arial" w:hAnsi="Arial" w:cs="Arial"/>
                <w:color w:val="010000"/>
                <w:sz w:val="20"/>
                <w:szCs w:val="20"/>
              </w:rPr>
              <w:t>11,494,950,822</w:t>
            </w:r>
          </w:p>
        </w:tc>
        <w:tc>
          <w:tcPr>
            <w:tcW w:w="2251" w:type="dxa"/>
            <w:shd w:val="clear" w:color="auto" w:fill="auto"/>
            <w:tcMar>
              <w:top w:w="0" w:type="dxa"/>
              <w:bottom w:w="0" w:type="dxa"/>
            </w:tcMar>
            <w:vAlign w:val="center"/>
          </w:tcPr>
          <w:p w14:paraId="642F0B8C" w14:textId="77777777" w:rsidR="005E5AA5" w:rsidRPr="00D97ED5" w:rsidRDefault="005E5AA5" w:rsidP="007509CE">
            <w:pPr>
              <w:tabs>
                <w:tab w:val="left" w:pos="284"/>
              </w:tabs>
              <w:spacing w:after="120" w:line="360" w:lineRule="auto"/>
              <w:jc w:val="both"/>
              <w:rPr>
                <w:rFonts w:ascii="Arial" w:eastAsia="Arial" w:hAnsi="Arial" w:cs="Arial"/>
                <w:color w:val="010000"/>
                <w:sz w:val="20"/>
                <w:szCs w:val="20"/>
              </w:rPr>
            </w:pPr>
          </w:p>
        </w:tc>
      </w:tr>
      <w:tr w:rsidR="005E5AA5" w:rsidRPr="00D97ED5" w14:paraId="11A8AA1C" w14:textId="77777777">
        <w:tc>
          <w:tcPr>
            <w:tcW w:w="533" w:type="dxa"/>
            <w:shd w:val="clear" w:color="auto" w:fill="auto"/>
            <w:tcMar>
              <w:top w:w="0" w:type="dxa"/>
              <w:bottom w:w="0" w:type="dxa"/>
            </w:tcMar>
            <w:vAlign w:val="center"/>
          </w:tcPr>
          <w:p w14:paraId="19EED28A" w14:textId="77777777" w:rsidR="005E5AA5" w:rsidRPr="00D97ED5" w:rsidRDefault="00C153A8" w:rsidP="007509CE">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D97ED5">
              <w:rPr>
                <w:rFonts w:ascii="Arial" w:hAnsi="Arial" w:cs="Arial"/>
                <w:color w:val="010000"/>
                <w:sz w:val="20"/>
                <w:szCs w:val="20"/>
              </w:rPr>
              <w:t>2</w:t>
            </w:r>
          </w:p>
        </w:tc>
        <w:tc>
          <w:tcPr>
            <w:tcW w:w="4296" w:type="dxa"/>
            <w:shd w:val="clear" w:color="auto" w:fill="auto"/>
            <w:tcMar>
              <w:top w:w="0" w:type="dxa"/>
              <w:bottom w:w="0" w:type="dxa"/>
            </w:tcMar>
            <w:vAlign w:val="center"/>
          </w:tcPr>
          <w:p w14:paraId="7A0FBF16" w14:textId="77777777" w:rsidR="005E5AA5" w:rsidRPr="00D97ED5" w:rsidRDefault="00C153A8" w:rsidP="007509CE">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D97ED5">
              <w:rPr>
                <w:rFonts w:ascii="Arial" w:hAnsi="Arial" w:cs="Arial"/>
                <w:color w:val="010000"/>
                <w:sz w:val="20"/>
                <w:szCs w:val="20"/>
              </w:rPr>
              <w:t>Remuneration for the Board of Directors and the Supervisory Board executive in 2023</w:t>
            </w:r>
          </w:p>
        </w:tc>
        <w:tc>
          <w:tcPr>
            <w:tcW w:w="1937" w:type="dxa"/>
            <w:shd w:val="clear" w:color="auto" w:fill="auto"/>
            <w:tcMar>
              <w:top w:w="0" w:type="dxa"/>
              <w:bottom w:w="0" w:type="dxa"/>
            </w:tcMar>
            <w:vAlign w:val="center"/>
          </w:tcPr>
          <w:p w14:paraId="4922AFB8" w14:textId="77777777" w:rsidR="005E5AA5" w:rsidRPr="00D97ED5" w:rsidRDefault="00C153A8" w:rsidP="007509CE">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D97ED5">
              <w:rPr>
                <w:rFonts w:ascii="Arial" w:hAnsi="Arial" w:cs="Arial"/>
                <w:color w:val="010000"/>
                <w:sz w:val="20"/>
                <w:szCs w:val="20"/>
              </w:rPr>
              <w:t>230,000,000</w:t>
            </w:r>
          </w:p>
        </w:tc>
        <w:tc>
          <w:tcPr>
            <w:tcW w:w="2251" w:type="dxa"/>
            <w:shd w:val="clear" w:color="auto" w:fill="auto"/>
            <w:tcMar>
              <w:top w:w="0" w:type="dxa"/>
              <w:bottom w:w="0" w:type="dxa"/>
            </w:tcMar>
            <w:vAlign w:val="center"/>
          </w:tcPr>
          <w:p w14:paraId="52BC0214" w14:textId="77777777" w:rsidR="005E5AA5" w:rsidRPr="00D97ED5" w:rsidRDefault="00C153A8" w:rsidP="007509CE">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D97ED5">
              <w:rPr>
                <w:rFonts w:ascii="Arial" w:hAnsi="Arial" w:cs="Arial"/>
                <w:color w:val="010000"/>
                <w:sz w:val="20"/>
                <w:szCs w:val="20"/>
              </w:rPr>
              <w:t>Deducted from remaining profit after tax at the end of 2022</w:t>
            </w:r>
          </w:p>
        </w:tc>
      </w:tr>
      <w:tr w:rsidR="005E5AA5" w:rsidRPr="00D97ED5" w14:paraId="2C703548" w14:textId="77777777">
        <w:tc>
          <w:tcPr>
            <w:tcW w:w="533" w:type="dxa"/>
            <w:shd w:val="clear" w:color="auto" w:fill="auto"/>
            <w:tcMar>
              <w:top w:w="0" w:type="dxa"/>
              <w:bottom w:w="0" w:type="dxa"/>
            </w:tcMar>
            <w:vAlign w:val="center"/>
          </w:tcPr>
          <w:p w14:paraId="0E92BCC8" w14:textId="77777777" w:rsidR="005E5AA5" w:rsidRPr="00D97ED5" w:rsidRDefault="00C153A8" w:rsidP="007509CE">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D97ED5">
              <w:rPr>
                <w:rFonts w:ascii="Arial" w:hAnsi="Arial" w:cs="Arial"/>
                <w:color w:val="010000"/>
                <w:sz w:val="20"/>
                <w:szCs w:val="20"/>
              </w:rPr>
              <w:t>3</w:t>
            </w:r>
          </w:p>
        </w:tc>
        <w:tc>
          <w:tcPr>
            <w:tcW w:w="4296" w:type="dxa"/>
            <w:shd w:val="clear" w:color="auto" w:fill="auto"/>
            <w:tcMar>
              <w:top w:w="0" w:type="dxa"/>
              <w:bottom w:w="0" w:type="dxa"/>
            </w:tcMar>
            <w:vAlign w:val="center"/>
          </w:tcPr>
          <w:p w14:paraId="2E60F882" w14:textId="77777777" w:rsidR="005E5AA5" w:rsidRPr="00D97ED5" w:rsidRDefault="00C153A8" w:rsidP="007509CE">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D97ED5">
              <w:rPr>
                <w:rFonts w:ascii="Arial" w:hAnsi="Arial" w:cs="Arial"/>
                <w:color w:val="010000"/>
                <w:sz w:val="20"/>
                <w:szCs w:val="20"/>
              </w:rPr>
              <w:t>Undistributed remaining profits from 2022 and earlier (1) - (2)</w:t>
            </w:r>
          </w:p>
        </w:tc>
        <w:tc>
          <w:tcPr>
            <w:tcW w:w="1937" w:type="dxa"/>
            <w:shd w:val="clear" w:color="auto" w:fill="auto"/>
            <w:tcMar>
              <w:top w:w="0" w:type="dxa"/>
              <w:bottom w:w="0" w:type="dxa"/>
            </w:tcMar>
            <w:vAlign w:val="center"/>
          </w:tcPr>
          <w:p w14:paraId="592A6160" w14:textId="77777777" w:rsidR="005E5AA5" w:rsidRPr="00D97ED5" w:rsidRDefault="00C153A8" w:rsidP="007509CE">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D97ED5">
              <w:rPr>
                <w:rFonts w:ascii="Arial" w:hAnsi="Arial" w:cs="Arial"/>
                <w:color w:val="010000"/>
                <w:sz w:val="20"/>
                <w:szCs w:val="20"/>
              </w:rPr>
              <w:t>11,264,950,822</w:t>
            </w:r>
          </w:p>
        </w:tc>
        <w:tc>
          <w:tcPr>
            <w:tcW w:w="2251" w:type="dxa"/>
            <w:shd w:val="clear" w:color="auto" w:fill="auto"/>
            <w:tcMar>
              <w:top w:w="0" w:type="dxa"/>
              <w:bottom w:w="0" w:type="dxa"/>
            </w:tcMar>
            <w:vAlign w:val="center"/>
          </w:tcPr>
          <w:p w14:paraId="49E68B06" w14:textId="77777777" w:rsidR="005E5AA5" w:rsidRPr="00D97ED5" w:rsidRDefault="005E5AA5" w:rsidP="007509CE">
            <w:pPr>
              <w:tabs>
                <w:tab w:val="left" w:pos="284"/>
              </w:tabs>
              <w:spacing w:after="120" w:line="360" w:lineRule="auto"/>
              <w:jc w:val="both"/>
              <w:rPr>
                <w:rFonts w:ascii="Arial" w:eastAsia="Arial" w:hAnsi="Arial" w:cs="Arial"/>
                <w:color w:val="010000"/>
                <w:sz w:val="20"/>
                <w:szCs w:val="20"/>
              </w:rPr>
            </w:pPr>
          </w:p>
        </w:tc>
      </w:tr>
      <w:tr w:rsidR="005E5AA5" w:rsidRPr="00D97ED5" w14:paraId="4605FECC" w14:textId="77777777">
        <w:tc>
          <w:tcPr>
            <w:tcW w:w="533" w:type="dxa"/>
            <w:shd w:val="clear" w:color="auto" w:fill="auto"/>
            <w:tcMar>
              <w:top w:w="0" w:type="dxa"/>
              <w:bottom w:w="0" w:type="dxa"/>
            </w:tcMar>
            <w:vAlign w:val="center"/>
          </w:tcPr>
          <w:p w14:paraId="67B8C54C" w14:textId="77777777" w:rsidR="005E5AA5" w:rsidRPr="00D97ED5" w:rsidRDefault="00C153A8" w:rsidP="007509CE">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D97ED5">
              <w:rPr>
                <w:rFonts w:ascii="Arial" w:hAnsi="Arial" w:cs="Arial"/>
                <w:color w:val="010000"/>
                <w:sz w:val="20"/>
                <w:szCs w:val="20"/>
              </w:rPr>
              <w:t>4</w:t>
            </w:r>
          </w:p>
        </w:tc>
        <w:tc>
          <w:tcPr>
            <w:tcW w:w="4296" w:type="dxa"/>
            <w:shd w:val="clear" w:color="auto" w:fill="auto"/>
            <w:tcMar>
              <w:top w:w="0" w:type="dxa"/>
              <w:bottom w:w="0" w:type="dxa"/>
            </w:tcMar>
            <w:vAlign w:val="center"/>
          </w:tcPr>
          <w:p w14:paraId="3675F304" w14:textId="77777777" w:rsidR="005E5AA5" w:rsidRPr="00D97ED5" w:rsidRDefault="00C153A8" w:rsidP="007509CE">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D97ED5">
              <w:rPr>
                <w:rFonts w:ascii="Arial" w:hAnsi="Arial" w:cs="Arial"/>
                <w:color w:val="010000"/>
                <w:sz w:val="20"/>
                <w:szCs w:val="20"/>
              </w:rPr>
              <w:t>Profit after tax in 2023</w:t>
            </w:r>
          </w:p>
        </w:tc>
        <w:tc>
          <w:tcPr>
            <w:tcW w:w="1937" w:type="dxa"/>
            <w:shd w:val="clear" w:color="auto" w:fill="auto"/>
            <w:tcMar>
              <w:top w:w="0" w:type="dxa"/>
              <w:bottom w:w="0" w:type="dxa"/>
            </w:tcMar>
            <w:vAlign w:val="center"/>
          </w:tcPr>
          <w:p w14:paraId="65F8A456" w14:textId="77777777" w:rsidR="005E5AA5" w:rsidRPr="00D97ED5" w:rsidRDefault="00C153A8" w:rsidP="007509CE">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D97ED5">
              <w:rPr>
                <w:rFonts w:ascii="Arial" w:hAnsi="Arial" w:cs="Arial"/>
                <w:color w:val="010000"/>
                <w:sz w:val="20"/>
                <w:szCs w:val="20"/>
              </w:rPr>
              <w:t>-33,562,020,194</w:t>
            </w:r>
          </w:p>
        </w:tc>
        <w:tc>
          <w:tcPr>
            <w:tcW w:w="2251" w:type="dxa"/>
            <w:shd w:val="clear" w:color="auto" w:fill="auto"/>
            <w:tcMar>
              <w:top w:w="0" w:type="dxa"/>
              <w:bottom w:w="0" w:type="dxa"/>
            </w:tcMar>
            <w:vAlign w:val="center"/>
          </w:tcPr>
          <w:p w14:paraId="0EC566D0" w14:textId="77777777" w:rsidR="005E5AA5" w:rsidRPr="00D97ED5" w:rsidRDefault="00C153A8" w:rsidP="007509CE">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D97ED5">
              <w:rPr>
                <w:rFonts w:ascii="Arial" w:hAnsi="Arial" w:cs="Arial"/>
                <w:color w:val="010000"/>
                <w:sz w:val="20"/>
                <w:szCs w:val="20"/>
              </w:rPr>
              <w:t>According to the Consolidated Financial Statements figures</w:t>
            </w:r>
          </w:p>
        </w:tc>
      </w:tr>
      <w:tr w:rsidR="005E5AA5" w:rsidRPr="00D97ED5" w14:paraId="14F083E0" w14:textId="77777777">
        <w:tc>
          <w:tcPr>
            <w:tcW w:w="533" w:type="dxa"/>
            <w:shd w:val="clear" w:color="auto" w:fill="auto"/>
            <w:tcMar>
              <w:top w:w="0" w:type="dxa"/>
              <w:bottom w:w="0" w:type="dxa"/>
            </w:tcMar>
            <w:vAlign w:val="center"/>
          </w:tcPr>
          <w:p w14:paraId="6F0CABA7" w14:textId="77777777" w:rsidR="005E5AA5" w:rsidRPr="00D97ED5" w:rsidRDefault="00C153A8" w:rsidP="007509CE">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D97ED5">
              <w:rPr>
                <w:rFonts w:ascii="Arial" w:hAnsi="Arial" w:cs="Arial"/>
                <w:color w:val="010000"/>
                <w:sz w:val="20"/>
                <w:szCs w:val="20"/>
              </w:rPr>
              <w:t>5</w:t>
            </w:r>
          </w:p>
        </w:tc>
        <w:tc>
          <w:tcPr>
            <w:tcW w:w="4296" w:type="dxa"/>
            <w:shd w:val="clear" w:color="auto" w:fill="auto"/>
            <w:tcMar>
              <w:top w:w="0" w:type="dxa"/>
              <w:bottom w:w="0" w:type="dxa"/>
            </w:tcMar>
            <w:vAlign w:val="center"/>
          </w:tcPr>
          <w:p w14:paraId="542213D0" w14:textId="77777777" w:rsidR="005E5AA5" w:rsidRPr="00D97ED5" w:rsidRDefault="00C153A8" w:rsidP="007509CE">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D97ED5">
              <w:rPr>
                <w:rFonts w:ascii="Arial" w:hAnsi="Arial" w:cs="Arial"/>
                <w:color w:val="010000"/>
                <w:sz w:val="20"/>
                <w:szCs w:val="20"/>
              </w:rPr>
              <w:t>Appropriation for investment and development fund</w:t>
            </w:r>
          </w:p>
        </w:tc>
        <w:tc>
          <w:tcPr>
            <w:tcW w:w="1937" w:type="dxa"/>
            <w:shd w:val="clear" w:color="auto" w:fill="auto"/>
            <w:tcMar>
              <w:top w:w="0" w:type="dxa"/>
              <w:bottom w:w="0" w:type="dxa"/>
            </w:tcMar>
            <w:vAlign w:val="center"/>
          </w:tcPr>
          <w:p w14:paraId="3A5EED00" w14:textId="77777777" w:rsidR="005E5AA5" w:rsidRPr="00D97ED5" w:rsidRDefault="00C153A8" w:rsidP="007509CE">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D97ED5">
              <w:rPr>
                <w:rFonts w:ascii="Arial" w:hAnsi="Arial" w:cs="Arial"/>
                <w:color w:val="010000"/>
                <w:sz w:val="20"/>
                <w:szCs w:val="20"/>
              </w:rPr>
              <w:t>0</w:t>
            </w:r>
          </w:p>
        </w:tc>
        <w:tc>
          <w:tcPr>
            <w:tcW w:w="2251" w:type="dxa"/>
            <w:shd w:val="clear" w:color="auto" w:fill="auto"/>
            <w:tcMar>
              <w:top w:w="0" w:type="dxa"/>
              <w:bottom w:w="0" w:type="dxa"/>
            </w:tcMar>
            <w:vAlign w:val="center"/>
          </w:tcPr>
          <w:p w14:paraId="66B6FC0E" w14:textId="77777777" w:rsidR="005E5AA5" w:rsidRPr="00D97ED5" w:rsidRDefault="005E5AA5" w:rsidP="007509CE">
            <w:pPr>
              <w:tabs>
                <w:tab w:val="left" w:pos="284"/>
              </w:tabs>
              <w:spacing w:after="120" w:line="360" w:lineRule="auto"/>
              <w:jc w:val="both"/>
              <w:rPr>
                <w:rFonts w:ascii="Arial" w:eastAsia="Arial" w:hAnsi="Arial" w:cs="Arial"/>
                <w:color w:val="010000"/>
                <w:sz w:val="20"/>
                <w:szCs w:val="20"/>
              </w:rPr>
            </w:pPr>
          </w:p>
        </w:tc>
      </w:tr>
      <w:tr w:rsidR="005E5AA5" w:rsidRPr="00D97ED5" w14:paraId="79AAC23D" w14:textId="77777777">
        <w:tc>
          <w:tcPr>
            <w:tcW w:w="533" w:type="dxa"/>
            <w:shd w:val="clear" w:color="auto" w:fill="auto"/>
            <w:tcMar>
              <w:top w:w="0" w:type="dxa"/>
              <w:bottom w:w="0" w:type="dxa"/>
            </w:tcMar>
            <w:vAlign w:val="center"/>
          </w:tcPr>
          <w:p w14:paraId="69FFD33B" w14:textId="77777777" w:rsidR="005E5AA5" w:rsidRPr="00D97ED5" w:rsidRDefault="00C153A8" w:rsidP="007509CE">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D97ED5">
              <w:rPr>
                <w:rFonts w:ascii="Arial" w:hAnsi="Arial" w:cs="Arial"/>
                <w:color w:val="010000"/>
                <w:sz w:val="20"/>
                <w:szCs w:val="20"/>
              </w:rPr>
              <w:t>6</w:t>
            </w:r>
          </w:p>
        </w:tc>
        <w:tc>
          <w:tcPr>
            <w:tcW w:w="4296" w:type="dxa"/>
            <w:shd w:val="clear" w:color="auto" w:fill="auto"/>
            <w:tcMar>
              <w:top w:w="0" w:type="dxa"/>
              <w:bottom w:w="0" w:type="dxa"/>
            </w:tcMar>
            <w:vAlign w:val="center"/>
          </w:tcPr>
          <w:p w14:paraId="16577ABE" w14:textId="77777777" w:rsidR="005E5AA5" w:rsidRPr="00D97ED5" w:rsidRDefault="00C153A8" w:rsidP="007509CE">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D97ED5">
              <w:rPr>
                <w:rFonts w:ascii="Arial" w:hAnsi="Arial" w:cs="Arial"/>
                <w:color w:val="010000"/>
                <w:sz w:val="20"/>
                <w:szCs w:val="20"/>
              </w:rPr>
              <w:t>Appropriation for bonus and welfare funds</w:t>
            </w:r>
          </w:p>
        </w:tc>
        <w:tc>
          <w:tcPr>
            <w:tcW w:w="1937" w:type="dxa"/>
            <w:shd w:val="clear" w:color="auto" w:fill="auto"/>
            <w:tcMar>
              <w:top w:w="0" w:type="dxa"/>
              <w:bottom w:w="0" w:type="dxa"/>
            </w:tcMar>
            <w:vAlign w:val="center"/>
          </w:tcPr>
          <w:p w14:paraId="350C8B9D" w14:textId="77777777" w:rsidR="005E5AA5" w:rsidRPr="00D97ED5" w:rsidRDefault="00C153A8" w:rsidP="007509CE">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D97ED5">
              <w:rPr>
                <w:rFonts w:ascii="Arial" w:hAnsi="Arial" w:cs="Arial"/>
                <w:color w:val="010000"/>
                <w:sz w:val="20"/>
                <w:szCs w:val="20"/>
              </w:rPr>
              <w:t>0</w:t>
            </w:r>
          </w:p>
        </w:tc>
        <w:tc>
          <w:tcPr>
            <w:tcW w:w="2251" w:type="dxa"/>
            <w:shd w:val="clear" w:color="auto" w:fill="auto"/>
            <w:tcMar>
              <w:top w:w="0" w:type="dxa"/>
              <w:bottom w:w="0" w:type="dxa"/>
            </w:tcMar>
            <w:vAlign w:val="center"/>
          </w:tcPr>
          <w:p w14:paraId="3D54CF8A" w14:textId="77777777" w:rsidR="005E5AA5" w:rsidRPr="00D97ED5" w:rsidRDefault="005E5AA5" w:rsidP="007509CE">
            <w:pPr>
              <w:tabs>
                <w:tab w:val="left" w:pos="284"/>
              </w:tabs>
              <w:spacing w:after="120" w:line="360" w:lineRule="auto"/>
              <w:jc w:val="both"/>
              <w:rPr>
                <w:rFonts w:ascii="Arial" w:eastAsia="Arial" w:hAnsi="Arial" w:cs="Arial"/>
                <w:color w:val="010000"/>
                <w:sz w:val="20"/>
                <w:szCs w:val="20"/>
              </w:rPr>
            </w:pPr>
          </w:p>
        </w:tc>
      </w:tr>
      <w:tr w:rsidR="005E5AA5" w:rsidRPr="00D97ED5" w14:paraId="220393A7" w14:textId="77777777">
        <w:tc>
          <w:tcPr>
            <w:tcW w:w="533" w:type="dxa"/>
            <w:shd w:val="clear" w:color="auto" w:fill="auto"/>
            <w:tcMar>
              <w:top w:w="0" w:type="dxa"/>
              <w:bottom w:w="0" w:type="dxa"/>
            </w:tcMar>
            <w:vAlign w:val="center"/>
          </w:tcPr>
          <w:p w14:paraId="26EA8796" w14:textId="77777777" w:rsidR="005E5AA5" w:rsidRPr="00D97ED5" w:rsidRDefault="00C153A8" w:rsidP="007509CE">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D97ED5">
              <w:rPr>
                <w:rFonts w:ascii="Arial" w:hAnsi="Arial" w:cs="Arial"/>
                <w:color w:val="010000"/>
                <w:sz w:val="20"/>
                <w:szCs w:val="20"/>
              </w:rPr>
              <w:t>7</w:t>
            </w:r>
          </w:p>
        </w:tc>
        <w:tc>
          <w:tcPr>
            <w:tcW w:w="4296" w:type="dxa"/>
            <w:shd w:val="clear" w:color="auto" w:fill="auto"/>
            <w:tcMar>
              <w:top w:w="0" w:type="dxa"/>
              <w:bottom w:w="0" w:type="dxa"/>
            </w:tcMar>
            <w:vAlign w:val="center"/>
          </w:tcPr>
          <w:p w14:paraId="0E604EDA" w14:textId="77777777" w:rsidR="005E5AA5" w:rsidRPr="00D97ED5" w:rsidRDefault="00C153A8" w:rsidP="007509CE">
            <w:pPr>
              <w:pBdr>
                <w:top w:val="nil"/>
                <w:left w:val="nil"/>
                <w:bottom w:val="nil"/>
                <w:right w:val="nil"/>
                <w:between w:val="nil"/>
              </w:pBdr>
              <w:tabs>
                <w:tab w:val="left" w:pos="284"/>
                <w:tab w:val="left" w:pos="917"/>
              </w:tabs>
              <w:spacing w:after="120" w:line="360" w:lineRule="auto"/>
              <w:jc w:val="both"/>
              <w:rPr>
                <w:rFonts w:ascii="Arial" w:eastAsia="Arial" w:hAnsi="Arial" w:cs="Arial"/>
                <w:color w:val="010000"/>
                <w:sz w:val="20"/>
                <w:szCs w:val="20"/>
              </w:rPr>
            </w:pPr>
            <w:r w:rsidRPr="00D97ED5">
              <w:rPr>
                <w:rFonts w:ascii="Arial" w:hAnsi="Arial" w:cs="Arial"/>
                <w:color w:val="010000"/>
                <w:sz w:val="20"/>
                <w:szCs w:val="20"/>
              </w:rPr>
              <w:t>Undistributed remaining profits at the end of 2023 (3) + (4) - (5) - (6)</w:t>
            </w:r>
          </w:p>
        </w:tc>
        <w:tc>
          <w:tcPr>
            <w:tcW w:w="1937" w:type="dxa"/>
            <w:shd w:val="clear" w:color="auto" w:fill="auto"/>
            <w:tcMar>
              <w:top w:w="0" w:type="dxa"/>
              <w:bottom w:w="0" w:type="dxa"/>
            </w:tcMar>
            <w:vAlign w:val="center"/>
          </w:tcPr>
          <w:p w14:paraId="1FBDAE01" w14:textId="77777777" w:rsidR="005E5AA5" w:rsidRPr="00D97ED5" w:rsidRDefault="00C153A8" w:rsidP="007509CE">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D97ED5">
              <w:rPr>
                <w:rFonts w:ascii="Arial" w:hAnsi="Arial" w:cs="Arial"/>
                <w:color w:val="010000"/>
                <w:sz w:val="20"/>
                <w:szCs w:val="20"/>
              </w:rPr>
              <w:t>-22,297,069,372</w:t>
            </w:r>
          </w:p>
        </w:tc>
        <w:tc>
          <w:tcPr>
            <w:tcW w:w="2251" w:type="dxa"/>
            <w:shd w:val="clear" w:color="auto" w:fill="auto"/>
            <w:tcMar>
              <w:top w:w="0" w:type="dxa"/>
              <w:bottom w:w="0" w:type="dxa"/>
            </w:tcMar>
            <w:vAlign w:val="center"/>
          </w:tcPr>
          <w:p w14:paraId="4AC927AA" w14:textId="77777777" w:rsidR="005E5AA5" w:rsidRPr="00D97ED5" w:rsidRDefault="005E5AA5" w:rsidP="007509CE">
            <w:pPr>
              <w:tabs>
                <w:tab w:val="left" w:pos="284"/>
              </w:tabs>
              <w:spacing w:after="120" w:line="360" w:lineRule="auto"/>
              <w:jc w:val="both"/>
              <w:rPr>
                <w:rFonts w:ascii="Arial" w:eastAsia="Arial" w:hAnsi="Arial" w:cs="Arial"/>
                <w:color w:val="010000"/>
                <w:sz w:val="20"/>
                <w:szCs w:val="20"/>
              </w:rPr>
            </w:pPr>
          </w:p>
        </w:tc>
      </w:tr>
      <w:tr w:rsidR="005E5AA5" w:rsidRPr="00D97ED5" w14:paraId="255AC924" w14:textId="77777777">
        <w:tc>
          <w:tcPr>
            <w:tcW w:w="533" w:type="dxa"/>
            <w:shd w:val="clear" w:color="auto" w:fill="auto"/>
            <w:tcMar>
              <w:top w:w="0" w:type="dxa"/>
              <w:bottom w:w="0" w:type="dxa"/>
            </w:tcMar>
            <w:vAlign w:val="center"/>
          </w:tcPr>
          <w:p w14:paraId="7E4440E9" w14:textId="77777777" w:rsidR="005E5AA5" w:rsidRPr="00D97ED5" w:rsidRDefault="00C153A8" w:rsidP="007509CE">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D97ED5">
              <w:rPr>
                <w:rFonts w:ascii="Arial" w:hAnsi="Arial" w:cs="Arial"/>
                <w:color w:val="010000"/>
                <w:sz w:val="20"/>
                <w:szCs w:val="20"/>
              </w:rPr>
              <w:t>8</w:t>
            </w:r>
          </w:p>
        </w:tc>
        <w:tc>
          <w:tcPr>
            <w:tcW w:w="4296" w:type="dxa"/>
            <w:shd w:val="clear" w:color="auto" w:fill="auto"/>
            <w:tcMar>
              <w:top w:w="0" w:type="dxa"/>
              <w:bottom w:w="0" w:type="dxa"/>
            </w:tcMar>
            <w:vAlign w:val="center"/>
          </w:tcPr>
          <w:p w14:paraId="1B7B2348" w14:textId="77777777" w:rsidR="005E5AA5" w:rsidRPr="00D97ED5" w:rsidRDefault="00C153A8" w:rsidP="007509CE">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D97ED5">
              <w:rPr>
                <w:rFonts w:ascii="Arial" w:hAnsi="Arial" w:cs="Arial"/>
                <w:color w:val="010000"/>
                <w:sz w:val="20"/>
                <w:szCs w:val="20"/>
              </w:rPr>
              <w:t>Dividend payment</w:t>
            </w:r>
          </w:p>
        </w:tc>
        <w:tc>
          <w:tcPr>
            <w:tcW w:w="1937" w:type="dxa"/>
            <w:shd w:val="clear" w:color="auto" w:fill="auto"/>
            <w:tcMar>
              <w:top w:w="0" w:type="dxa"/>
              <w:bottom w:w="0" w:type="dxa"/>
            </w:tcMar>
            <w:vAlign w:val="center"/>
          </w:tcPr>
          <w:p w14:paraId="5E0545B7" w14:textId="77777777" w:rsidR="005E5AA5" w:rsidRPr="00D97ED5" w:rsidRDefault="00C153A8" w:rsidP="007509CE">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D97ED5">
              <w:rPr>
                <w:rFonts w:ascii="Arial" w:hAnsi="Arial" w:cs="Arial"/>
                <w:color w:val="010000"/>
                <w:sz w:val="20"/>
                <w:szCs w:val="20"/>
              </w:rPr>
              <w:t>0</w:t>
            </w:r>
          </w:p>
        </w:tc>
        <w:tc>
          <w:tcPr>
            <w:tcW w:w="2251" w:type="dxa"/>
            <w:shd w:val="clear" w:color="auto" w:fill="auto"/>
            <w:tcMar>
              <w:top w:w="0" w:type="dxa"/>
              <w:bottom w:w="0" w:type="dxa"/>
            </w:tcMar>
            <w:vAlign w:val="center"/>
          </w:tcPr>
          <w:p w14:paraId="0B505F0A" w14:textId="77777777" w:rsidR="005E5AA5" w:rsidRPr="00D97ED5" w:rsidRDefault="00C153A8" w:rsidP="007509CE">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D97ED5">
              <w:rPr>
                <w:rFonts w:ascii="Arial" w:hAnsi="Arial" w:cs="Arial"/>
                <w:color w:val="010000"/>
                <w:sz w:val="20"/>
                <w:szCs w:val="20"/>
              </w:rPr>
              <w:t>No dividend payment</w:t>
            </w:r>
          </w:p>
        </w:tc>
      </w:tr>
      <w:tr w:rsidR="005E5AA5" w:rsidRPr="00D97ED5" w14:paraId="48973EE7" w14:textId="77777777">
        <w:tc>
          <w:tcPr>
            <w:tcW w:w="533" w:type="dxa"/>
            <w:shd w:val="clear" w:color="auto" w:fill="auto"/>
            <w:tcMar>
              <w:top w:w="0" w:type="dxa"/>
              <w:bottom w:w="0" w:type="dxa"/>
            </w:tcMar>
            <w:vAlign w:val="center"/>
          </w:tcPr>
          <w:p w14:paraId="26E340FF" w14:textId="77777777" w:rsidR="005E5AA5" w:rsidRPr="00D97ED5" w:rsidRDefault="00C153A8" w:rsidP="007509CE">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D97ED5">
              <w:rPr>
                <w:rFonts w:ascii="Arial" w:hAnsi="Arial" w:cs="Arial"/>
                <w:color w:val="010000"/>
                <w:sz w:val="20"/>
                <w:szCs w:val="20"/>
              </w:rPr>
              <w:t>9</w:t>
            </w:r>
          </w:p>
        </w:tc>
        <w:tc>
          <w:tcPr>
            <w:tcW w:w="4296" w:type="dxa"/>
            <w:shd w:val="clear" w:color="auto" w:fill="auto"/>
            <w:tcMar>
              <w:top w:w="0" w:type="dxa"/>
              <w:bottom w:w="0" w:type="dxa"/>
            </w:tcMar>
            <w:vAlign w:val="center"/>
          </w:tcPr>
          <w:p w14:paraId="77414515" w14:textId="77777777" w:rsidR="005E5AA5" w:rsidRPr="00D97ED5" w:rsidRDefault="00C153A8" w:rsidP="007509CE">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D97ED5">
              <w:rPr>
                <w:rFonts w:ascii="Arial" w:hAnsi="Arial" w:cs="Arial"/>
                <w:color w:val="010000"/>
                <w:sz w:val="20"/>
                <w:szCs w:val="20"/>
              </w:rPr>
              <w:t>Undistributed remaining profits</w:t>
            </w:r>
          </w:p>
        </w:tc>
        <w:tc>
          <w:tcPr>
            <w:tcW w:w="1937" w:type="dxa"/>
            <w:shd w:val="clear" w:color="auto" w:fill="auto"/>
            <w:tcMar>
              <w:top w:w="0" w:type="dxa"/>
              <w:bottom w:w="0" w:type="dxa"/>
            </w:tcMar>
            <w:vAlign w:val="center"/>
          </w:tcPr>
          <w:p w14:paraId="1E043DA7" w14:textId="77777777" w:rsidR="005E5AA5" w:rsidRPr="00D97ED5" w:rsidRDefault="00C153A8" w:rsidP="007509CE">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D97ED5">
              <w:rPr>
                <w:rFonts w:ascii="Arial" w:hAnsi="Arial" w:cs="Arial"/>
                <w:color w:val="010000"/>
                <w:sz w:val="20"/>
                <w:szCs w:val="20"/>
              </w:rPr>
              <w:t>-22,297,069,372</w:t>
            </w:r>
          </w:p>
        </w:tc>
        <w:tc>
          <w:tcPr>
            <w:tcW w:w="2251" w:type="dxa"/>
            <w:shd w:val="clear" w:color="auto" w:fill="auto"/>
            <w:tcMar>
              <w:top w:w="0" w:type="dxa"/>
              <w:bottom w:w="0" w:type="dxa"/>
            </w:tcMar>
            <w:vAlign w:val="center"/>
          </w:tcPr>
          <w:p w14:paraId="23BDEF6F" w14:textId="77777777" w:rsidR="005E5AA5" w:rsidRPr="00D97ED5" w:rsidRDefault="005E5AA5" w:rsidP="007509CE">
            <w:pPr>
              <w:tabs>
                <w:tab w:val="left" w:pos="284"/>
              </w:tabs>
              <w:spacing w:after="120" w:line="360" w:lineRule="auto"/>
              <w:jc w:val="both"/>
              <w:rPr>
                <w:rFonts w:ascii="Arial" w:eastAsia="Arial" w:hAnsi="Arial" w:cs="Arial"/>
                <w:color w:val="010000"/>
                <w:sz w:val="20"/>
                <w:szCs w:val="20"/>
              </w:rPr>
            </w:pPr>
          </w:p>
        </w:tc>
      </w:tr>
    </w:tbl>
    <w:p w14:paraId="6D550BFE" w14:textId="77777777" w:rsidR="005E5AA5" w:rsidRPr="00D97ED5" w:rsidRDefault="00C153A8" w:rsidP="007509CE">
      <w:pPr>
        <w:numPr>
          <w:ilvl w:val="0"/>
          <w:numId w:val="1"/>
        </w:numPr>
        <w:pBdr>
          <w:top w:val="nil"/>
          <w:left w:val="nil"/>
          <w:bottom w:val="nil"/>
          <w:right w:val="nil"/>
          <w:between w:val="nil"/>
        </w:pBdr>
        <w:tabs>
          <w:tab w:val="left" w:pos="284"/>
        </w:tabs>
        <w:spacing w:after="120" w:line="360" w:lineRule="auto"/>
        <w:ind w:left="0" w:firstLine="0"/>
        <w:jc w:val="both"/>
        <w:rPr>
          <w:rFonts w:ascii="Arial" w:eastAsia="Arial" w:hAnsi="Arial" w:cs="Arial"/>
          <w:color w:val="010000"/>
          <w:sz w:val="20"/>
          <w:szCs w:val="20"/>
        </w:rPr>
      </w:pPr>
      <w:r w:rsidRPr="00D97ED5">
        <w:rPr>
          <w:rFonts w:ascii="Arial" w:hAnsi="Arial" w:cs="Arial"/>
          <w:color w:val="010000"/>
          <w:sz w:val="20"/>
          <w:szCs w:val="20"/>
        </w:rPr>
        <w:t>Profit distribution plan 2024:</w:t>
      </w:r>
    </w:p>
    <w:tbl>
      <w:tblPr>
        <w:tblStyle w:val="a2"/>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0"/>
        <w:gridCol w:w="4429"/>
        <w:gridCol w:w="1924"/>
        <w:gridCol w:w="2144"/>
      </w:tblGrid>
      <w:tr w:rsidR="005E5AA5" w:rsidRPr="00D97ED5" w14:paraId="656D6BB8" w14:textId="77777777">
        <w:tc>
          <w:tcPr>
            <w:tcW w:w="520" w:type="dxa"/>
            <w:shd w:val="clear" w:color="auto" w:fill="auto"/>
            <w:tcMar>
              <w:top w:w="0" w:type="dxa"/>
              <w:bottom w:w="0" w:type="dxa"/>
            </w:tcMar>
            <w:vAlign w:val="center"/>
          </w:tcPr>
          <w:p w14:paraId="72B9F493" w14:textId="77777777" w:rsidR="005E5AA5" w:rsidRPr="00D97ED5" w:rsidRDefault="00C153A8" w:rsidP="007509CE">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D97ED5">
              <w:rPr>
                <w:rFonts w:ascii="Arial" w:hAnsi="Arial" w:cs="Arial"/>
                <w:color w:val="010000"/>
                <w:sz w:val="20"/>
                <w:szCs w:val="20"/>
              </w:rPr>
              <w:t>No.</w:t>
            </w:r>
          </w:p>
        </w:tc>
        <w:tc>
          <w:tcPr>
            <w:tcW w:w="4429" w:type="dxa"/>
            <w:shd w:val="clear" w:color="auto" w:fill="auto"/>
            <w:tcMar>
              <w:top w:w="0" w:type="dxa"/>
              <w:bottom w:w="0" w:type="dxa"/>
            </w:tcMar>
            <w:vAlign w:val="center"/>
          </w:tcPr>
          <w:p w14:paraId="62E89B6B" w14:textId="77777777" w:rsidR="005E5AA5" w:rsidRPr="00D97ED5" w:rsidRDefault="00C153A8" w:rsidP="007509CE">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D97ED5">
              <w:rPr>
                <w:rFonts w:ascii="Arial" w:hAnsi="Arial" w:cs="Arial"/>
                <w:color w:val="010000"/>
                <w:sz w:val="20"/>
                <w:szCs w:val="20"/>
              </w:rPr>
              <w:t>Target</w:t>
            </w:r>
          </w:p>
        </w:tc>
        <w:tc>
          <w:tcPr>
            <w:tcW w:w="1924" w:type="dxa"/>
            <w:shd w:val="clear" w:color="auto" w:fill="auto"/>
            <w:tcMar>
              <w:top w:w="0" w:type="dxa"/>
              <w:bottom w:w="0" w:type="dxa"/>
            </w:tcMar>
            <w:vAlign w:val="center"/>
          </w:tcPr>
          <w:p w14:paraId="109F46FE" w14:textId="77777777" w:rsidR="005E5AA5" w:rsidRPr="00D97ED5" w:rsidRDefault="00C153A8" w:rsidP="007509CE">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D97ED5">
              <w:rPr>
                <w:rFonts w:ascii="Arial" w:hAnsi="Arial" w:cs="Arial"/>
                <w:color w:val="010000"/>
                <w:sz w:val="20"/>
                <w:szCs w:val="20"/>
              </w:rPr>
              <w:t>Amount (VND)</w:t>
            </w:r>
          </w:p>
        </w:tc>
        <w:tc>
          <w:tcPr>
            <w:tcW w:w="2144" w:type="dxa"/>
            <w:shd w:val="clear" w:color="auto" w:fill="auto"/>
            <w:tcMar>
              <w:top w:w="0" w:type="dxa"/>
              <w:bottom w:w="0" w:type="dxa"/>
            </w:tcMar>
            <w:vAlign w:val="center"/>
          </w:tcPr>
          <w:p w14:paraId="4973400F" w14:textId="77777777" w:rsidR="005E5AA5" w:rsidRPr="00D97ED5" w:rsidRDefault="00C153A8" w:rsidP="007509CE">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D97ED5">
              <w:rPr>
                <w:rFonts w:ascii="Arial" w:hAnsi="Arial" w:cs="Arial"/>
                <w:color w:val="010000"/>
                <w:sz w:val="20"/>
                <w:szCs w:val="20"/>
              </w:rPr>
              <w:t>Note</w:t>
            </w:r>
          </w:p>
        </w:tc>
      </w:tr>
      <w:tr w:rsidR="005E5AA5" w:rsidRPr="00D97ED5" w14:paraId="1DBA4193" w14:textId="77777777">
        <w:tc>
          <w:tcPr>
            <w:tcW w:w="520" w:type="dxa"/>
            <w:shd w:val="clear" w:color="auto" w:fill="auto"/>
            <w:tcMar>
              <w:top w:w="0" w:type="dxa"/>
              <w:bottom w:w="0" w:type="dxa"/>
            </w:tcMar>
            <w:vAlign w:val="center"/>
          </w:tcPr>
          <w:p w14:paraId="31CA5DBE" w14:textId="77777777" w:rsidR="005E5AA5" w:rsidRPr="00D97ED5" w:rsidRDefault="00C153A8" w:rsidP="007509CE">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D97ED5">
              <w:rPr>
                <w:rFonts w:ascii="Arial" w:hAnsi="Arial" w:cs="Arial"/>
                <w:color w:val="010000"/>
                <w:sz w:val="20"/>
                <w:szCs w:val="20"/>
              </w:rPr>
              <w:t>1</w:t>
            </w:r>
          </w:p>
        </w:tc>
        <w:tc>
          <w:tcPr>
            <w:tcW w:w="4429" w:type="dxa"/>
            <w:shd w:val="clear" w:color="auto" w:fill="auto"/>
            <w:tcMar>
              <w:top w:w="0" w:type="dxa"/>
              <w:bottom w:w="0" w:type="dxa"/>
            </w:tcMar>
            <w:vAlign w:val="center"/>
          </w:tcPr>
          <w:p w14:paraId="3B7B0B14" w14:textId="77777777" w:rsidR="005E5AA5" w:rsidRPr="00D97ED5" w:rsidRDefault="00C153A8" w:rsidP="007509CE">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D97ED5">
              <w:rPr>
                <w:rFonts w:ascii="Arial" w:hAnsi="Arial" w:cs="Arial"/>
                <w:color w:val="010000"/>
                <w:sz w:val="20"/>
                <w:szCs w:val="20"/>
              </w:rPr>
              <w:t>Profit after tax</w:t>
            </w:r>
          </w:p>
        </w:tc>
        <w:tc>
          <w:tcPr>
            <w:tcW w:w="1924" w:type="dxa"/>
            <w:shd w:val="clear" w:color="auto" w:fill="auto"/>
            <w:tcMar>
              <w:top w:w="0" w:type="dxa"/>
              <w:bottom w:w="0" w:type="dxa"/>
            </w:tcMar>
            <w:vAlign w:val="center"/>
          </w:tcPr>
          <w:p w14:paraId="7A64DBEC" w14:textId="77777777" w:rsidR="005E5AA5" w:rsidRPr="00D97ED5" w:rsidRDefault="00C153A8" w:rsidP="007509CE">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D97ED5">
              <w:rPr>
                <w:rFonts w:ascii="Arial" w:hAnsi="Arial" w:cs="Arial"/>
                <w:color w:val="010000"/>
                <w:sz w:val="20"/>
                <w:szCs w:val="20"/>
              </w:rPr>
              <w:t>21,185,408,000</w:t>
            </w:r>
          </w:p>
        </w:tc>
        <w:tc>
          <w:tcPr>
            <w:tcW w:w="2144" w:type="dxa"/>
            <w:shd w:val="clear" w:color="auto" w:fill="auto"/>
            <w:tcMar>
              <w:top w:w="0" w:type="dxa"/>
              <w:bottom w:w="0" w:type="dxa"/>
            </w:tcMar>
            <w:vAlign w:val="center"/>
          </w:tcPr>
          <w:p w14:paraId="0A55EEE3" w14:textId="77777777" w:rsidR="005E5AA5" w:rsidRPr="00D97ED5" w:rsidRDefault="005E5AA5" w:rsidP="007509CE">
            <w:pPr>
              <w:tabs>
                <w:tab w:val="left" w:pos="284"/>
              </w:tabs>
              <w:spacing w:after="120" w:line="360" w:lineRule="auto"/>
              <w:jc w:val="both"/>
              <w:rPr>
                <w:rFonts w:ascii="Arial" w:eastAsia="Arial" w:hAnsi="Arial" w:cs="Arial"/>
                <w:color w:val="010000"/>
                <w:sz w:val="20"/>
                <w:szCs w:val="20"/>
              </w:rPr>
            </w:pPr>
          </w:p>
        </w:tc>
      </w:tr>
      <w:tr w:rsidR="005E5AA5" w:rsidRPr="00D97ED5" w14:paraId="1FF1B259" w14:textId="77777777">
        <w:tc>
          <w:tcPr>
            <w:tcW w:w="520" w:type="dxa"/>
            <w:shd w:val="clear" w:color="auto" w:fill="auto"/>
            <w:tcMar>
              <w:top w:w="0" w:type="dxa"/>
              <w:bottom w:w="0" w:type="dxa"/>
            </w:tcMar>
            <w:vAlign w:val="center"/>
          </w:tcPr>
          <w:p w14:paraId="0D726658" w14:textId="77777777" w:rsidR="005E5AA5" w:rsidRPr="00D97ED5" w:rsidRDefault="00C153A8" w:rsidP="007509CE">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D97ED5">
              <w:rPr>
                <w:rFonts w:ascii="Arial" w:hAnsi="Arial" w:cs="Arial"/>
                <w:color w:val="010000"/>
                <w:sz w:val="20"/>
                <w:szCs w:val="20"/>
              </w:rPr>
              <w:t>2</w:t>
            </w:r>
          </w:p>
        </w:tc>
        <w:tc>
          <w:tcPr>
            <w:tcW w:w="4429" w:type="dxa"/>
            <w:shd w:val="clear" w:color="auto" w:fill="auto"/>
            <w:tcMar>
              <w:top w:w="0" w:type="dxa"/>
              <w:bottom w:w="0" w:type="dxa"/>
            </w:tcMar>
            <w:vAlign w:val="center"/>
          </w:tcPr>
          <w:p w14:paraId="78CCEB72" w14:textId="77777777" w:rsidR="005E5AA5" w:rsidRPr="00D97ED5" w:rsidRDefault="00C153A8" w:rsidP="007509CE">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D97ED5">
              <w:rPr>
                <w:rFonts w:ascii="Arial" w:hAnsi="Arial" w:cs="Arial"/>
                <w:color w:val="010000"/>
                <w:sz w:val="20"/>
                <w:szCs w:val="20"/>
              </w:rPr>
              <w:t>Appropriation for investment and development funds</w:t>
            </w:r>
          </w:p>
        </w:tc>
        <w:tc>
          <w:tcPr>
            <w:tcW w:w="1924" w:type="dxa"/>
            <w:shd w:val="clear" w:color="auto" w:fill="auto"/>
            <w:tcMar>
              <w:top w:w="0" w:type="dxa"/>
              <w:bottom w:w="0" w:type="dxa"/>
            </w:tcMar>
            <w:vAlign w:val="center"/>
          </w:tcPr>
          <w:p w14:paraId="68717E6E" w14:textId="77777777" w:rsidR="005E5AA5" w:rsidRPr="00D97ED5" w:rsidRDefault="00C153A8" w:rsidP="007509CE">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D97ED5">
              <w:rPr>
                <w:rFonts w:ascii="Arial" w:hAnsi="Arial" w:cs="Arial"/>
                <w:color w:val="010000"/>
                <w:sz w:val="20"/>
                <w:szCs w:val="20"/>
              </w:rPr>
              <w:t>0</w:t>
            </w:r>
          </w:p>
        </w:tc>
        <w:tc>
          <w:tcPr>
            <w:tcW w:w="2144" w:type="dxa"/>
            <w:shd w:val="clear" w:color="auto" w:fill="auto"/>
            <w:tcMar>
              <w:top w:w="0" w:type="dxa"/>
              <w:bottom w:w="0" w:type="dxa"/>
            </w:tcMar>
            <w:vAlign w:val="center"/>
          </w:tcPr>
          <w:p w14:paraId="650C3247" w14:textId="77777777" w:rsidR="005E5AA5" w:rsidRPr="00D97ED5" w:rsidRDefault="00C153A8" w:rsidP="007509CE">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D97ED5">
              <w:rPr>
                <w:rFonts w:ascii="Arial" w:hAnsi="Arial" w:cs="Arial"/>
                <w:color w:val="010000"/>
                <w:sz w:val="20"/>
                <w:szCs w:val="20"/>
              </w:rPr>
              <w:t>No appropriation</w:t>
            </w:r>
          </w:p>
        </w:tc>
      </w:tr>
      <w:tr w:rsidR="005E5AA5" w:rsidRPr="00D97ED5" w14:paraId="6A6A7D9A" w14:textId="77777777">
        <w:tc>
          <w:tcPr>
            <w:tcW w:w="520" w:type="dxa"/>
            <w:shd w:val="clear" w:color="auto" w:fill="auto"/>
            <w:tcMar>
              <w:top w:w="0" w:type="dxa"/>
              <w:bottom w:w="0" w:type="dxa"/>
            </w:tcMar>
            <w:vAlign w:val="center"/>
          </w:tcPr>
          <w:p w14:paraId="1653D108" w14:textId="77777777" w:rsidR="005E5AA5" w:rsidRPr="00D97ED5" w:rsidRDefault="00C153A8" w:rsidP="007509CE">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D97ED5">
              <w:rPr>
                <w:rFonts w:ascii="Arial" w:hAnsi="Arial" w:cs="Arial"/>
                <w:color w:val="010000"/>
                <w:sz w:val="20"/>
                <w:szCs w:val="20"/>
              </w:rPr>
              <w:t>3</w:t>
            </w:r>
          </w:p>
        </w:tc>
        <w:tc>
          <w:tcPr>
            <w:tcW w:w="4429" w:type="dxa"/>
            <w:shd w:val="clear" w:color="auto" w:fill="auto"/>
            <w:tcMar>
              <w:top w:w="0" w:type="dxa"/>
              <w:bottom w:w="0" w:type="dxa"/>
            </w:tcMar>
            <w:vAlign w:val="center"/>
          </w:tcPr>
          <w:p w14:paraId="2886EB70" w14:textId="77777777" w:rsidR="005E5AA5" w:rsidRPr="00D97ED5" w:rsidRDefault="00C153A8" w:rsidP="007509CE">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D97ED5">
              <w:rPr>
                <w:rFonts w:ascii="Arial" w:hAnsi="Arial" w:cs="Arial"/>
                <w:color w:val="010000"/>
                <w:sz w:val="20"/>
                <w:szCs w:val="20"/>
              </w:rPr>
              <w:t>Appropriation for bonus and welfare fund (10%)</w:t>
            </w:r>
          </w:p>
        </w:tc>
        <w:tc>
          <w:tcPr>
            <w:tcW w:w="1924" w:type="dxa"/>
            <w:shd w:val="clear" w:color="auto" w:fill="auto"/>
            <w:tcMar>
              <w:top w:w="0" w:type="dxa"/>
              <w:bottom w:w="0" w:type="dxa"/>
            </w:tcMar>
            <w:vAlign w:val="center"/>
          </w:tcPr>
          <w:p w14:paraId="5B02DEC2" w14:textId="77777777" w:rsidR="005E5AA5" w:rsidRPr="00D97ED5" w:rsidRDefault="00C153A8" w:rsidP="007509CE">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D97ED5">
              <w:rPr>
                <w:rFonts w:ascii="Arial" w:hAnsi="Arial" w:cs="Arial"/>
                <w:color w:val="010000"/>
                <w:sz w:val="20"/>
                <w:szCs w:val="20"/>
              </w:rPr>
              <w:t>0</w:t>
            </w:r>
          </w:p>
        </w:tc>
        <w:tc>
          <w:tcPr>
            <w:tcW w:w="2144" w:type="dxa"/>
            <w:shd w:val="clear" w:color="auto" w:fill="auto"/>
            <w:tcMar>
              <w:top w:w="0" w:type="dxa"/>
              <w:bottom w:w="0" w:type="dxa"/>
            </w:tcMar>
            <w:vAlign w:val="center"/>
          </w:tcPr>
          <w:p w14:paraId="1828A5BA" w14:textId="77777777" w:rsidR="005E5AA5" w:rsidRPr="00D97ED5" w:rsidRDefault="00C153A8" w:rsidP="007509CE">
            <w:pPr>
              <w:pBdr>
                <w:top w:val="nil"/>
                <w:left w:val="nil"/>
                <w:bottom w:val="nil"/>
                <w:right w:val="nil"/>
                <w:between w:val="nil"/>
              </w:pBdr>
              <w:tabs>
                <w:tab w:val="left" w:pos="284"/>
                <w:tab w:val="left" w:pos="1637"/>
                <w:tab w:val="left" w:pos="1997"/>
                <w:tab w:val="left" w:pos="2088"/>
              </w:tabs>
              <w:spacing w:after="120" w:line="360" w:lineRule="auto"/>
              <w:jc w:val="both"/>
              <w:rPr>
                <w:rFonts w:ascii="Arial" w:eastAsia="Arial" w:hAnsi="Arial" w:cs="Arial"/>
                <w:color w:val="010000"/>
                <w:sz w:val="20"/>
                <w:szCs w:val="20"/>
              </w:rPr>
            </w:pPr>
            <w:r w:rsidRPr="00D97ED5">
              <w:rPr>
                <w:rFonts w:ascii="Arial" w:hAnsi="Arial" w:cs="Arial"/>
                <w:color w:val="010000"/>
                <w:sz w:val="20"/>
                <w:szCs w:val="20"/>
              </w:rPr>
              <w:t xml:space="preserve">No appropriation </w:t>
            </w:r>
          </w:p>
        </w:tc>
      </w:tr>
      <w:tr w:rsidR="005E5AA5" w:rsidRPr="00D97ED5" w14:paraId="14BE8A3D" w14:textId="77777777">
        <w:tc>
          <w:tcPr>
            <w:tcW w:w="520" w:type="dxa"/>
            <w:shd w:val="clear" w:color="auto" w:fill="auto"/>
            <w:tcMar>
              <w:top w:w="0" w:type="dxa"/>
              <w:bottom w:w="0" w:type="dxa"/>
            </w:tcMar>
            <w:vAlign w:val="center"/>
          </w:tcPr>
          <w:p w14:paraId="12615D28" w14:textId="77777777" w:rsidR="005E5AA5" w:rsidRPr="00D97ED5" w:rsidRDefault="00C153A8" w:rsidP="007509CE">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D97ED5">
              <w:rPr>
                <w:rFonts w:ascii="Arial" w:hAnsi="Arial" w:cs="Arial"/>
                <w:color w:val="010000"/>
                <w:sz w:val="20"/>
                <w:szCs w:val="20"/>
              </w:rPr>
              <w:t>4</w:t>
            </w:r>
          </w:p>
        </w:tc>
        <w:tc>
          <w:tcPr>
            <w:tcW w:w="4429" w:type="dxa"/>
            <w:shd w:val="clear" w:color="auto" w:fill="auto"/>
            <w:tcMar>
              <w:top w:w="0" w:type="dxa"/>
              <w:bottom w:w="0" w:type="dxa"/>
            </w:tcMar>
            <w:vAlign w:val="center"/>
          </w:tcPr>
          <w:p w14:paraId="3C3F83B3" w14:textId="77777777" w:rsidR="005E5AA5" w:rsidRPr="00D97ED5" w:rsidRDefault="00C153A8" w:rsidP="007509CE">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D97ED5">
              <w:rPr>
                <w:rFonts w:ascii="Arial" w:hAnsi="Arial" w:cs="Arial"/>
                <w:color w:val="010000"/>
                <w:sz w:val="20"/>
                <w:szCs w:val="20"/>
              </w:rPr>
              <w:t>Dividend payment</w:t>
            </w:r>
          </w:p>
        </w:tc>
        <w:tc>
          <w:tcPr>
            <w:tcW w:w="1924" w:type="dxa"/>
            <w:shd w:val="clear" w:color="auto" w:fill="auto"/>
            <w:tcMar>
              <w:top w:w="0" w:type="dxa"/>
              <w:bottom w:w="0" w:type="dxa"/>
            </w:tcMar>
            <w:vAlign w:val="center"/>
          </w:tcPr>
          <w:p w14:paraId="6BAC3E65" w14:textId="77777777" w:rsidR="005E5AA5" w:rsidRPr="00D97ED5" w:rsidRDefault="00C153A8" w:rsidP="007509CE">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D97ED5">
              <w:rPr>
                <w:rFonts w:ascii="Arial" w:hAnsi="Arial" w:cs="Arial"/>
                <w:color w:val="010000"/>
                <w:sz w:val="20"/>
                <w:szCs w:val="20"/>
              </w:rPr>
              <w:t>0</w:t>
            </w:r>
          </w:p>
        </w:tc>
        <w:tc>
          <w:tcPr>
            <w:tcW w:w="2144" w:type="dxa"/>
            <w:shd w:val="clear" w:color="auto" w:fill="auto"/>
            <w:tcMar>
              <w:top w:w="0" w:type="dxa"/>
              <w:bottom w:w="0" w:type="dxa"/>
            </w:tcMar>
            <w:vAlign w:val="center"/>
          </w:tcPr>
          <w:p w14:paraId="49E296C3" w14:textId="77777777" w:rsidR="005E5AA5" w:rsidRPr="00D97ED5" w:rsidRDefault="00C153A8" w:rsidP="007509CE">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D97ED5">
              <w:rPr>
                <w:rFonts w:ascii="Arial" w:hAnsi="Arial" w:cs="Arial"/>
                <w:color w:val="010000"/>
                <w:sz w:val="20"/>
                <w:szCs w:val="20"/>
              </w:rPr>
              <w:t>No dividend payment.</w:t>
            </w:r>
          </w:p>
        </w:tc>
      </w:tr>
      <w:tr w:rsidR="005E5AA5" w:rsidRPr="00D97ED5" w14:paraId="24379E08" w14:textId="77777777">
        <w:tc>
          <w:tcPr>
            <w:tcW w:w="520" w:type="dxa"/>
            <w:shd w:val="clear" w:color="auto" w:fill="auto"/>
            <w:tcMar>
              <w:top w:w="0" w:type="dxa"/>
              <w:bottom w:w="0" w:type="dxa"/>
            </w:tcMar>
            <w:vAlign w:val="center"/>
          </w:tcPr>
          <w:p w14:paraId="6CCA0001" w14:textId="77777777" w:rsidR="005E5AA5" w:rsidRPr="00D97ED5" w:rsidRDefault="00C153A8" w:rsidP="007509CE">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D97ED5">
              <w:rPr>
                <w:rFonts w:ascii="Arial" w:hAnsi="Arial" w:cs="Arial"/>
                <w:color w:val="010000"/>
                <w:sz w:val="20"/>
                <w:szCs w:val="20"/>
              </w:rPr>
              <w:t>5</w:t>
            </w:r>
          </w:p>
        </w:tc>
        <w:tc>
          <w:tcPr>
            <w:tcW w:w="4429" w:type="dxa"/>
            <w:shd w:val="clear" w:color="auto" w:fill="auto"/>
            <w:tcMar>
              <w:top w:w="0" w:type="dxa"/>
              <w:bottom w:w="0" w:type="dxa"/>
            </w:tcMar>
            <w:vAlign w:val="center"/>
          </w:tcPr>
          <w:p w14:paraId="1C6F08E6" w14:textId="77777777" w:rsidR="005E5AA5" w:rsidRPr="00D97ED5" w:rsidRDefault="00C153A8" w:rsidP="007509CE">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D97ED5">
              <w:rPr>
                <w:rFonts w:ascii="Arial" w:hAnsi="Arial" w:cs="Arial"/>
                <w:color w:val="010000"/>
                <w:sz w:val="20"/>
                <w:szCs w:val="20"/>
              </w:rPr>
              <w:t>The remaining profit compensates for losses in 2023</w:t>
            </w:r>
          </w:p>
        </w:tc>
        <w:tc>
          <w:tcPr>
            <w:tcW w:w="1924" w:type="dxa"/>
            <w:shd w:val="clear" w:color="auto" w:fill="auto"/>
            <w:tcMar>
              <w:top w:w="0" w:type="dxa"/>
              <w:bottom w:w="0" w:type="dxa"/>
            </w:tcMar>
            <w:vAlign w:val="center"/>
          </w:tcPr>
          <w:p w14:paraId="6AB50DA2" w14:textId="77777777" w:rsidR="005E5AA5" w:rsidRPr="00D97ED5" w:rsidRDefault="00C153A8" w:rsidP="007509CE">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D97ED5">
              <w:rPr>
                <w:rFonts w:ascii="Arial" w:hAnsi="Arial" w:cs="Arial"/>
                <w:color w:val="010000"/>
                <w:sz w:val="20"/>
                <w:szCs w:val="20"/>
              </w:rPr>
              <w:t>21,185,408,000</w:t>
            </w:r>
          </w:p>
        </w:tc>
        <w:tc>
          <w:tcPr>
            <w:tcW w:w="2144" w:type="dxa"/>
            <w:shd w:val="clear" w:color="auto" w:fill="auto"/>
            <w:tcMar>
              <w:top w:w="0" w:type="dxa"/>
              <w:bottom w:w="0" w:type="dxa"/>
            </w:tcMar>
            <w:vAlign w:val="center"/>
          </w:tcPr>
          <w:p w14:paraId="3ED8F4E4" w14:textId="77777777" w:rsidR="005E5AA5" w:rsidRPr="00D97ED5" w:rsidRDefault="005E5AA5" w:rsidP="007509CE">
            <w:pPr>
              <w:tabs>
                <w:tab w:val="left" w:pos="284"/>
              </w:tabs>
              <w:spacing w:after="120" w:line="360" w:lineRule="auto"/>
              <w:jc w:val="both"/>
              <w:rPr>
                <w:rFonts w:ascii="Arial" w:eastAsia="Arial" w:hAnsi="Arial" w:cs="Arial"/>
                <w:color w:val="010000"/>
                <w:sz w:val="20"/>
                <w:szCs w:val="20"/>
              </w:rPr>
            </w:pPr>
          </w:p>
        </w:tc>
      </w:tr>
    </w:tbl>
    <w:p w14:paraId="04B64C29" w14:textId="77777777" w:rsidR="005E5AA5" w:rsidRPr="00D97ED5" w:rsidRDefault="00C153A8" w:rsidP="007509CE">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D97ED5">
        <w:rPr>
          <w:rFonts w:ascii="Arial" w:hAnsi="Arial" w:cs="Arial"/>
          <w:color w:val="010000"/>
          <w:sz w:val="20"/>
          <w:szCs w:val="20"/>
        </w:rPr>
        <w:t>Notes: The company strives to operate production and business activities effectively to pay dividends to shareholders.</w:t>
      </w:r>
    </w:p>
    <w:p w14:paraId="60947DA9" w14:textId="77777777" w:rsidR="005E5AA5" w:rsidRPr="00D97ED5" w:rsidRDefault="00C153A8" w:rsidP="007509CE">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D97ED5">
        <w:rPr>
          <w:rFonts w:ascii="Arial" w:hAnsi="Arial" w:cs="Arial"/>
          <w:color w:val="010000"/>
          <w:sz w:val="20"/>
          <w:szCs w:val="20"/>
        </w:rPr>
        <w:t>‎‎Article 4. Approve the remuneration and bonus for the Board of Directors and the Supervisory Board in 2023 and the remuneration and bonus plan in 2024</w:t>
      </w:r>
    </w:p>
    <w:p w14:paraId="3BA5A226" w14:textId="77777777" w:rsidR="005E5AA5" w:rsidRPr="00D97ED5" w:rsidRDefault="00C153A8" w:rsidP="007509CE">
      <w:pPr>
        <w:numPr>
          <w:ilvl w:val="0"/>
          <w:numId w:val="4"/>
        </w:numPr>
        <w:pBdr>
          <w:top w:val="nil"/>
          <w:left w:val="nil"/>
          <w:bottom w:val="nil"/>
          <w:right w:val="nil"/>
          <w:between w:val="nil"/>
        </w:pBdr>
        <w:tabs>
          <w:tab w:val="left" w:pos="284"/>
        </w:tabs>
        <w:spacing w:after="120" w:line="360" w:lineRule="auto"/>
        <w:ind w:left="0" w:firstLine="0"/>
        <w:jc w:val="both"/>
        <w:rPr>
          <w:rFonts w:ascii="Arial" w:eastAsia="Arial" w:hAnsi="Arial" w:cs="Arial"/>
          <w:color w:val="010000"/>
          <w:sz w:val="20"/>
          <w:szCs w:val="20"/>
        </w:rPr>
      </w:pPr>
      <w:r w:rsidRPr="00D97ED5">
        <w:rPr>
          <w:rFonts w:ascii="Arial" w:hAnsi="Arial" w:cs="Arial"/>
          <w:color w:val="010000"/>
          <w:sz w:val="20"/>
          <w:szCs w:val="20"/>
        </w:rPr>
        <w:lastRenderedPageBreak/>
        <w:t>Payment of remuneration for the Board of Directors and the Supervisory Board in 2023:</w:t>
      </w:r>
    </w:p>
    <w:p w14:paraId="5C4A58E8" w14:textId="77777777" w:rsidR="005E5AA5" w:rsidRPr="00D97ED5" w:rsidRDefault="00C153A8" w:rsidP="007509CE">
      <w:pPr>
        <w:pBdr>
          <w:top w:val="nil"/>
          <w:left w:val="nil"/>
          <w:bottom w:val="nil"/>
          <w:right w:val="nil"/>
          <w:between w:val="nil"/>
        </w:pBdr>
        <w:tabs>
          <w:tab w:val="left" w:pos="284"/>
          <w:tab w:val="left" w:pos="5559"/>
        </w:tabs>
        <w:spacing w:after="120" w:line="360" w:lineRule="auto"/>
        <w:jc w:val="both"/>
        <w:rPr>
          <w:rFonts w:ascii="Arial" w:eastAsia="Arial" w:hAnsi="Arial" w:cs="Arial"/>
          <w:color w:val="010000"/>
          <w:sz w:val="20"/>
          <w:szCs w:val="20"/>
        </w:rPr>
      </w:pPr>
      <w:r w:rsidRPr="00D97ED5">
        <w:rPr>
          <w:rFonts w:ascii="Arial" w:hAnsi="Arial" w:cs="Arial"/>
          <w:color w:val="010000"/>
          <w:sz w:val="20"/>
          <w:szCs w:val="20"/>
        </w:rPr>
        <w:t>Total remuneration of the Board of Directors in 2023: VND254,000,000;</w:t>
      </w:r>
    </w:p>
    <w:p w14:paraId="2B41929A" w14:textId="77777777" w:rsidR="005E5AA5" w:rsidRPr="00D97ED5" w:rsidRDefault="00C153A8" w:rsidP="007509CE">
      <w:pPr>
        <w:numPr>
          <w:ilvl w:val="0"/>
          <w:numId w:val="1"/>
        </w:numPr>
        <w:pBdr>
          <w:top w:val="nil"/>
          <w:left w:val="nil"/>
          <w:bottom w:val="nil"/>
          <w:right w:val="nil"/>
          <w:between w:val="nil"/>
        </w:pBdr>
        <w:tabs>
          <w:tab w:val="left" w:pos="284"/>
          <w:tab w:val="left" w:pos="5559"/>
          <w:tab w:val="left" w:pos="5955"/>
        </w:tabs>
        <w:spacing w:after="120" w:line="360" w:lineRule="auto"/>
        <w:ind w:left="0" w:firstLine="0"/>
        <w:jc w:val="both"/>
        <w:rPr>
          <w:rFonts w:ascii="Arial" w:eastAsia="Arial" w:hAnsi="Arial" w:cs="Arial"/>
          <w:color w:val="010000"/>
          <w:sz w:val="20"/>
          <w:szCs w:val="20"/>
        </w:rPr>
      </w:pPr>
      <w:r w:rsidRPr="00D97ED5">
        <w:rPr>
          <w:rFonts w:ascii="Arial" w:hAnsi="Arial" w:cs="Arial"/>
          <w:color w:val="010000"/>
          <w:sz w:val="20"/>
          <w:szCs w:val="20"/>
        </w:rPr>
        <w:t>Chair of the Board of Directors VND7,000,000;</w:t>
      </w:r>
    </w:p>
    <w:p w14:paraId="0DA1DB04" w14:textId="26264D07" w:rsidR="005E5AA5" w:rsidRPr="00D97ED5" w:rsidRDefault="00C153A8" w:rsidP="007509CE">
      <w:pPr>
        <w:numPr>
          <w:ilvl w:val="0"/>
          <w:numId w:val="1"/>
        </w:numPr>
        <w:pBdr>
          <w:top w:val="nil"/>
          <w:left w:val="nil"/>
          <w:bottom w:val="nil"/>
          <w:right w:val="nil"/>
          <w:between w:val="nil"/>
        </w:pBdr>
        <w:tabs>
          <w:tab w:val="left" w:pos="284"/>
          <w:tab w:val="left" w:pos="5559"/>
          <w:tab w:val="left" w:pos="5955"/>
        </w:tabs>
        <w:spacing w:after="120" w:line="360" w:lineRule="auto"/>
        <w:ind w:left="0" w:firstLine="0"/>
        <w:jc w:val="both"/>
        <w:rPr>
          <w:rFonts w:ascii="Arial" w:eastAsia="Arial" w:hAnsi="Arial" w:cs="Arial"/>
          <w:color w:val="010000"/>
          <w:sz w:val="20"/>
          <w:szCs w:val="20"/>
        </w:rPr>
      </w:pPr>
      <w:r w:rsidRPr="00D97ED5">
        <w:rPr>
          <w:rFonts w:ascii="Arial" w:hAnsi="Arial" w:cs="Arial"/>
          <w:color w:val="010000"/>
          <w:sz w:val="20"/>
          <w:szCs w:val="20"/>
        </w:rPr>
        <w:t>Vice Chair of the Board of Directors</w:t>
      </w:r>
      <w:r w:rsidR="00F5650D" w:rsidRPr="00D97ED5">
        <w:rPr>
          <w:rFonts w:ascii="Arial" w:hAnsi="Arial" w:cs="Arial"/>
          <w:color w:val="010000"/>
          <w:sz w:val="20"/>
          <w:szCs w:val="20"/>
        </w:rPr>
        <w:t>:</w:t>
      </w:r>
      <w:r w:rsidRPr="00D97ED5">
        <w:rPr>
          <w:rFonts w:ascii="Arial" w:hAnsi="Arial" w:cs="Arial"/>
          <w:color w:val="010000"/>
          <w:sz w:val="20"/>
          <w:szCs w:val="20"/>
        </w:rPr>
        <w:t xml:space="preserve"> Executive salary</w:t>
      </w:r>
    </w:p>
    <w:p w14:paraId="155BDD5B" w14:textId="77777777" w:rsidR="005E5AA5" w:rsidRPr="00D97ED5" w:rsidRDefault="00C153A8" w:rsidP="007509CE">
      <w:pPr>
        <w:numPr>
          <w:ilvl w:val="0"/>
          <w:numId w:val="1"/>
        </w:numPr>
        <w:pBdr>
          <w:top w:val="nil"/>
          <w:left w:val="nil"/>
          <w:bottom w:val="nil"/>
          <w:right w:val="nil"/>
          <w:between w:val="nil"/>
        </w:pBdr>
        <w:tabs>
          <w:tab w:val="left" w:pos="284"/>
          <w:tab w:val="left" w:pos="5559"/>
          <w:tab w:val="left" w:pos="5955"/>
        </w:tabs>
        <w:spacing w:after="120" w:line="360" w:lineRule="auto"/>
        <w:ind w:left="0" w:firstLine="0"/>
        <w:jc w:val="both"/>
        <w:rPr>
          <w:rFonts w:ascii="Arial" w:eastAsia="Arial" w:hAnsi="Arial" w:cs="Arial"/>
          <w:color w:val="010000"/>
          <w:sz w:val="20"/>
          <w:szCs w:val="20"/>
        </w:rPr>
      </w:pPr>
      <w:r w:rsidRPr="00D97ED5">
        <w:rPr>
          <w:rFonts w:ascii="Arial" w:hAnsi="Arial" w:cs="Arial"/>
          <w:color w:val="010000"/>
          <w:sz w:val="20"/>
          <w:szCs w:val="20"/>
        </w:rPr>
        <w:t>member of the Board of Directors VND5,000,000/month</w:t>
      </w:r>
    </w:p>
    <w:p w14:paraId="0047A8AE" w14:textId="77777777" w:rsidR="005E5AA5" w:rsidRPr="00D97ED5" w:rsidRDefault="00C153A8" w:rsidP="007509CE">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D97ED5">
        <w:rPr>
          <w:rFonts w:ascii="Arial" w:hAnsi="Arial" w:cs="Arial"/>
          <w:color w:val="010000"/>
          <w:sz w:val="20"/>
          <w:szCs w:val="20"/>
        </w:rPr>
        <w:t>Total remuneration of the Supervisory Board in 2023: VND72,000,000;</w:t>
      </w:r>
    </w:p>
    <w:p w14:paraId="581ECCAA" w14:textId="2665DBB6" w:rsidR="005E5AA5" w:rsidRPr="00D97ED5" w:rsidRDefault="00C153A8" w:rsidP="007509CE">
      <w:pPr>
        <w:numPr>
          <w:ilvl w:val="0"/>
          <w:numId w:val="2"/>
        </w:numPr>
        <w:pBdr>
          <w:top w:val="nil"/>
          <w:left w:val="nil"/>
          <w:bottom w:val="nil"/>
          <w:right w:val="nil"/>
          <w:between w:val="nil"/>
        </w:pBdr>
        <w:tabs>
          <w:tab w:val="left" w:pos="284"/>
        </w:tabs>
        <w:spacing w:after="120" w:line="360" w:lineRule="auto"/>
        <w:ind w:left="0" w:firstLine="0"/>
        <w:jc w:val="both"/>
        <w:rPr>
          <w:rFonts w:ascii="Arial" w:eastAsia="Arial" w:hAnsi="Arial" w:cs="Arial"/>
          <w:color w:val="010000"/>
          <w:sz w:val="20"/>
          <w:szCs w:val="20"/>
        </w:rPr>
      </w:pPr>
      <w:r w:rsidRPr="00D97ED5">
        <w:rPr>
          <w:rFonts w:ascii="Arial" w:hAnsi="Arial" w:cs="Arial"/>
          <w:color w:val="010000"/>
          <w:sz w:val="20"/>
          <w:szCs w:val="20"/>
        </w:rPr>
        <w:t>The Chief of the Supervisory Board</w:t>
      </w:r>
      <w:r w:rsidR="00F5650D" w:rsidRPr="00D97ED5">
        <w:rPr>
          <w:rFonts w:ascii="Arial" w:hAnsi="Arial" w:cs="Arial"/>
          <w:color w:val="010000"/>
          <w:sz w:val="20"/>
          <w:szCs w:val="20"/>
        </w:rPr>
        <w:t>:</w:t>
      </w:r>
      <w:r w:rsidRPr="00D97ED5">
        <w:rPr>
          <w:rFonts w:ascii="Arial" w:hAnsi="Arial" w:cs="Arial"/>
          <w:color w:val="010000"/>
          <w:sz w:val="20"/>
          <w:szCs w:val="20"/>
        </w:rPr>
        <w:t xml:space="preserve"> Executive salary</w:t>
      </w:r>
    </w:p>
    <w:p w14:paraId="309E6B1B" w14:textId="77777777" w:rsidR="005E5AA5" w:rsidRPr="00D97ED5" w:rsidRDefault="00C153A8" w:rsidP="007509CE">
      <w:pPr>
        <w:numPr>
          <w:ilvl w:val="0"/>
          <w:numId w:val="2"/>
        </w:numPr>
        <w:pBdr>
          <w:top w:val="nil"/>
          <w:left w:val="nil"/>
          <w:bottom w:val="nil"/>
          <w:right w:val="nil"/>
          <w:between w:val="nil"/>
        </w:pBdr>
        <w:tabs>
          <w:tab w:val="left" w:pos="284"/>
        </w:tabs>
        <w:spacing w:after="120" w:line="360" w:lineRule="auto"/>
        <w:ind w:left="0" w:firstLine="0"/>
        <w:jc w:val="both"/>
        <w:rPr>
          <w:rFonts w:ascii="Arial" w:eastAsia="Arial" w:hAnsi="Arial" w:cs="Arial"/>
          <w:color w:val="010000"/>
          <w:sz w:val="20"/>
          <w:szCs w:val="20"/>
        </w:rPr>
      </w:pPr>
      <w:r w:rsidRPr="00D97ED5">
        <w:rPr>
          <w:rFonts w:ascii="Arial" w:hAnsi="Arial" w:cs="Arial"/>
          <w:color w:val="010000"/>
          <w:sz w:val="20"/>
          <w:szCs w:val="20"/>
        </w:rPr>
        <w:t>Member of the Supervisory Board: VND3,000,000/month</w:t>
      </w:r>
    </w:p>
    <w:p w14:paraId="487FA866" w14:textId="77777777" w:rsidR="005E5AA5" w:rsidRPr="00D97ED5" w:rsidRDefault="00C153A8" w:rsidP="007509CE">
      <w:pPr>
        <w:numPr>
          <w:ilvl w:val="0"/>
          <w:numId w:val="4"/>
        </w:numPr>
        <w:pBdr>
          <w:top w:val="nil"/>
          <w:left w:val="nil"/>
          <w:bottom w:val="nil"/>
          <w:right w:val="nil"/>
          <w:between w:val="nil"/>
        </w:pBdr>
        <w:tabs>
          <w:tab w:val="left" w:pos="284"/>
        </w:tabs>
        <w:spacing w:after="120" w:line="360" w:lineRule="auto"/>
        <w:ind w:left="0" w:firstLine="0"/>
        <w:jc w:val="both"/>
        <w:rPr>
          <w:rFonts w:ascii="Arial" w:eastAsia="Arial" w:hAnsi="Arial" w:cs="Arial"/>
          <w:color w:val="010000"/>
          <w:sz w:val="20"/>
          <w:szCs w:val="20"/>
        </w:rPr>
      </w:pPr>
      <w:r w:rsidRPr="00D97ED5">
        <w:rPr>
          <w:rFonts w:ascii="Arial" w:hAnsi="Arial" w:cs="Arial"/>
          <w:color w:val="010000"/>
          <w:sz w:val="20"/>
          <w:szCs w:val="20"/>
        </w:rPr>
        <w:t>Remuneration for the Board of Directors and the Supervisory Board in 2024:</w:t>
      </w:r>
    </w:p>
    <w:p w14:paraId="646C36BB" w14:textId="77777777" w:rsidR="005E5AA5" w:rsidRPr="00D97ED5" w:rsidRDefault="00C153A8" w:rsidP="007509CE">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D97ED5">
        <w:rPr>
          <w:rFonts w:ascii="Arial" w:hAnsi="Arial" w:cs="Arial"/>
          <w:color w:val="010000"/>
          <w:sz w:val="20"/>
          <w:szCs w:val="20"/>
        </w:rPr>
        <w:t>In 2024, the Board of Directors includes 05 people, and the Supervisory Board includes 03 people. The proposed remuneration in 2024 for the Board of Directors and the Supervisory Board is as follows:</w:t>
      </w:r>
    </w:p>
    <w:p w14:paraId="267C906F" w14:textId="77777777" w:rsidR="005E5AA5" w:rsidRPr="00D97ED5" w:rsidRDefault="00C153A8" w:rsidP="007509CE">
      <w:pPr>
        <w:numPr>
          <w:ilvl w:val="0"/>
          <w:numId w:val="3"/>
        </w:numPr>
        <w:pBdr>
          <w:top w:val="nil"/>
          <w:left w:val="nil"/>
          <w:bottom w:val="nil"/>
          <w:right w:val="nil"/>
          <w:between w:val="nil"/>
        </w:pBdr>
        <w:tabs>
          <w:tab w:val="left" w:pos="284"/>
          <w:tab w:val="left" w:pos="4995"/>
        </w:tabs>
        <w:spacing w:after="120" w:line="360" w:lineRule="auto"/>
        <w:ind w:left="0" w:firstLine="0"/>
        <w:jc w:val="both"/>
        <w:rPr>
          <w:rFonts w:ascii="Arial" w:eastAsia="Arial" w:hAnsi="Arial" w:cs="Arial"/>
          <w:color w:val="010000"/>
          <w:sz w:val="20"/>
          <w:szCs w:val="20"/>
        </w:rPr>
      </w:pPr>
      <w:r w:rsidRPr="00D97ED5">
        <w:rPr>
          <w:rFonts w:ascii="Arial" w:hAnsi="Arial" w:cs="Arial"/>
          <w:color w:val="010000"/>
          <w:sz w:val="20"/>
          <w:szCs w:val="20"/>
        </w:rPr>
        <w:t>Chair of the Board of Directors VND5,000,000/month</w:t>
      </w:r>
    </w:p>
    <w:p w14:paraId="13BDA667" w14:textId="14C0EC52" w:rsidR="005E5AA5" w:rsidRPr="00D97ED5" w:rsidRDefault="00C153A8" w:rsidP="007509CE">
      <w:pPr>
        <w:numPr>
          <w:ilvl w:val="0"/>
          <w:numId w:val="3"/>
        </w:numPr>
        <w:pBdr>
          <w:top w:val="nil"/>
          <w:left w:val="nil"/>
          <w:bottom w:val="nil"/>
          <w:right w:val="nil"/>
          <w:between w:val="nil"/>
        </w:pBdr>
        <w:tabs>
          <w:tab w:val="left" w:pos="284"/>
          <w:tab w:val="left" w:pos="4995"/>
        </w:tabs>
        <w:spacing w:after="120" w:line="360" w:lineRule="auto"/>
        <w:ind w:left="0" w:firstLine="0"/>
        <w:jc w:val="both"/>
        <w:rPr>
          <w:rFonts w:ascii="Arial" w:eastAsia="Arial" w:hAnsi="Arial" w:cs="Arial"/>
          <w:color w:val="010000"/>
          <w:sz w:val="20"/>
          <w:szCs w:val="20"/>
        </w:rPr>
      </w:pPr>
      <w:r w:rsidRPr="00D97ED5">
        <w:rPr>
          <w:rFonts w:ascii="Arial" w:hAnsi="Arial" w:cs="Arial"/>
          <w:color w:val="010000"/>
          <w:sz w:val="20"/>
          <w:szCs w:val="20"/>
        </w:rPr>
        <w:t>Vice Chair of the Board of Directors</w:t>
      </w:r>
      <w:r w:rsidR="00D97ED5" w:rsidRPr="00D97ED5">
        <w:rPr>
          <w:rFonts w:ascii="Arial" w:hAnsi="Arial" w:cs="Arial"/>
          <w:color w:val="010000"/>
          <w:sz w:val="20"/>
          <w:szCs w:val="20"/>
        </w:rPr>
        <w:t>:</w:t>
      </w:r>
      <w:r w:rsidRPr="00D97ED5">
        <w:rPr>
          <w:rFonts w:ascii="Arial" w:hAnsi="Arial" w:cs="Arial"/>
          <w:color w:val="010000"/>
          <w:sz w:val="20"/>
          <w:szCs w:val="20"/>
        </w:rPr>
        <w:t xml:space="preserve"> Executive salary</w:t>
      </w:r>
    </w:p>
    <w:p w14:paraId="6DA57A1C" w14:textId="77777777" w:rsidR="005E5AA5" w:rsidRPr="00D97ED5" w:rsidRDefault="00C153A8" w:rsidP="007509CE">
      <w:pPr>
        <w:numPr>
          <w:ilvl w:val="0"/>
          <w:numId w:val="3"/>
        </w:numPr>
        <w:pBdr>
          <w:top w:val="nil"/>
          <w:left w:val="nil"/>
          <w:bottom w:val="nil"/>
          <w:right w:val="nil"/>
          <w:between w:val="nil"/>
        </w:pBdr>
        <w:tabs>
          <w:tab w:val="left" w:pos="284"/>
          <w:tab w:val="left" w:pos="4995"/>
        </w:tabs>
        <w:spacing w:after="120" w:line="360" w:lineRule="auto"/>
        <w:ind w:left="0" w:firstLine="0"/>
        <w:jc w:val="both"/>
        <w:rPr>
          <w:rFonts w:ascii="Arial" w:eastAsia="Arial" w:hAnsi="Arial" w:cs="Arial"/>
          <w:color w:val="010000"/>
          <w:sz w:val="20"/>
          <w:szCs w:val="20"/>
        </w:rPr>
      </w:pPr>
      <w:r w:rsidRPr="00D97ED5">
        <w:rPr>
          <w:rFonts w:ascii="Arial" w:hAnsi="Arial" w:cs="Arial"/>
          <w:color w:val="010000"/>
          <w:sz w:val="20"/>
          <w:szCs w:val="20"/>
        </w:rPr>
        <w:t>member of the Board of Directors VND3,000,000/month</w:t>
      </w:r>
    </w:p>
    <w:p w14:paraId="004A62F6" w14:textId="77777777" w:rsidR="005E5AA5" w:rsidRPr="00D97ED5" w:rsidRDefault="00C153A8" w:rsidP="007509CE">
      <w:pPr>
        <w:numPr>
          <w:ilvl w:val="0"/>
          <w:numId w:val="3"/>
        </w:numPr>
        <w:pBdr>
          <w:top w:val="nil"/>
          <w:left w:val="nil"/>
          <w:bottom w:val="nil"/>
          <w:right w:val="nil"/>
          <w:between w:val="nil"/>
        </w:pBdr>
        <w:tabs>
          <w:tab w:val="left" w:pos="284"/>
          <w:tab w:val="left" w:pos="4995"/>
        </w:tabs>
        <w:spacing w:after="120" w:line="360" w:lineRule="auto"/>
        <w:ind w:left="0" w:firstLine="0"/>
        <w:jc w:val="both"/>
        <w:rPr>
          <w:rFonts w:ascii="Arial" w:eastAsia="Arial" w:hAnsi="Arial" w:cs="Arial"/>
          <w:color w:val="010000"/>
          <w:sz w:val="20"/>
          <w:szCs w:val="20"/>
        </w:rPr>
      </w:pPr>
      <w:r w:rsidRPr="00D97ED5">
        <w:rPr>
          <w:rFonts w:ascii="Arial" w:hAnsi="Arial" w:cs="Arial"/>
          <w:color w:val="010000"/>
          <w:sz w:val="20"/>
          <w:szCs w:val="20"/>
        </w:rPr>
        <w:t>Chief of the Supervisory Board: Executive salary</w:t>
      </w:r>
    </w:p>
    <w:p w14:paraId="40C3224D" w14:textId="77777777" w:rsidR="005E5AA5" w:rsidRPr="00D97ED5" w:rsidRDefault="00C153A8" w:rsidP="007509CE">
      <w:pPr>
        <w:numPr>
          <w:ilvl w:val="0"/>
          <w:numId w:val="3"/>
        </w:numPr>
        <w:pBdr>
          <w:top w:val="nil"/>
          <w:left w:val="nil"/>
          <w:bottom w:val="nil"/>
          <w:right w:val="nil"/>
          <w:between w:val="nil"/>
        </w:pBdr>
        <w:tabs>
          <w:tab w:val="left" w:pos="284"/>
          <w:tab w:val="left" w:pos="4995"/>
        </w:tabs>
        <w:spacing w:after="120" w:line="360" w:lineRule="auto"/>
        <w:ind w:left="0" w:firstLine="0"/>
        <w:jc w:val="both"/>
        <w:rPr>
          <w:rFonts w:ascii="Arial" w:eastAsia="Arial" w:hAnsi="Arial" w:cs="Arial"/>
          <w:color w:val="010000"/>
          <w:sz w:val="20"/>
          <w:szCs w:val="20"/>
        </w:rPr>
      </w:pPr>
      <w:r w:rsidRPr="00D97ED5">
        <w:rPr>
          <w:rFonts w:ascii="Arial" w:hAnsi="Arial" w:cs="Arial"/>
          <w:color w:val="010000"/>
          <w:sz w:val="20"/>
          <w:szCs w:val="20"/>
        </w:rPr>
        <w:t>Member of the Supervisory Board: VND2,000,000/month</w:t>
      </w:r>
    </w:p>
    <w:p w14:paraId="1907C0E3" w14:textId="753D8515" w:rsidR="005E5AA5" w:rsidRPr="00D97ED5" w:rsidRDefault="00C153A8" w:rsidP="007509CE">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D97ED5">
        <w:rPr>
          <w:rFonts w:ascii="Arial" w:hAnsi="Arial" w:cs="Arial"/>
          <w:color w:val="010000"/>
          <w:sz w:val="20"/>
          <w:szCs w:val="20"/>
        </w:rPr>
        <w:t xml:space="preserve">Notes: In case the production and business activities </w:t>
      </w:r>
      <w:r w:rsidR="00D97ED5" w:rsidRPr="00D97ED5">
        <w:rPr>
          <w:rFonts w:ascii="Arial" w:hAnsi="Arial" w:cs="Arial"/>
          <w:color w:val="010000"/>
          <w:sz w:val="20"/>
          <w:szCs w:val="20"/>
        </w:rPr>
        <w:t>result</w:t>
      </w:r>
      <w:r w:rsidRPr="00D97ED5">
        <w:rPr>
          <w:rFonts w:ascii="Arial" w:hAnsi="Arial" w:cs="Arial"/>
          <w:color w:val="010000"/>
          <w:sz w:val="20"/>
          <w:szCs w:val="20"/>
        </w:rPr>
        <w:t xml:space="preserve"> in 2024 of the company are ineffective (losses), no remuneration will be paid to the Board of Directors and the Supervisory Board.</w:t>
      </w:r>
    </w:p>
    <w:p w14:paraId="597F8F51" w14:textId="77777777" w:rsidR="005E5AA5" w:rsidRPr="00D97ED5" w:rsidRDefault="00C153A8" w:rsidP="007509CE">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D97ED5">
        <w:rPr>
          <w:rFonts w:ascii="Arial" w:hAnsi="Arial" w:cs="Arial"/>
          <w:color w:val="010000"/>
          <w:sz w:val="20"/>
          <w:szCs w:val="20"/>
        </w:rPr>
        <w:t>‎‎Article 5. Approve the selection of an audit company for 2024:</w:t>
      </w:r>
    </w:p>
    <w:p w14:paraId="0DAA01E0" w14:textId="77777777" w:rsidR="005E5AA5" w:rsidRPr="00D97ED5" w:rsidRDefault="00C153A8" w:rsidP="007509CE">
      <w:pPr>
        <w:numPr>
          <w:ilvl w:val="0"/>
          <w:numId w:val="4"/>
        </w:numPr>
        <w:pBdr>
          <w:top w:val="nil"/>
          <w:left w:val="nil"/>
          <w:bottom w:val="nil"/>
          <w:right w:val="nil"/>
          <w:between w:val="nil"/>
        </w:pBdr>
        <w:tabs>
          <w:tab w:val="left" w:pos="284"/>
        </w:tabs>
        <w:spacing w:after="120" w:line="360" w:lineRule="auto"/>
        <w:ind w:left="0" w:firstLine="0"/>
        <w:jc w:val="both"/>
        <w:rPr>
          <w:rFonts w:ascii="Arial" w:eastAsia="Arial" w:hAnsi="Arial" w:cs="Arial"/>
          <w:color w:val="010000"/>
          <w:sz w:val="20"/>
          <w:szCs w:val="20"/>
        </w:rPr>
      </w:pPr>
      <w:r w:rsidRPr="00D97ED5">
        <w:rPr>
          <w:rFonts w:ascii="Arial" w:hAnsi="Arial" w:cs="Arial"/>
          <w:color w:val="010000"/>
          <w:sz w:val="20"/>
          <w:szCs w:val="20"/>
        </w:rPr>
        <w:t>Approve the criteria for selecting audit company according to the report of the Supervisory Board.</w:t>
      </w:r>
    </w:p>
    <w:p w14:paraId="4E16B3FC" w14:textId="77777777" w:rsidR="005E5AA5" w:rsidRPr="00D97ED5" w:rsidRDefault="00C153A8" w:rsidP="007509CE">
      <w:pPr>
        <w:numPr>
          <w:ilvl w:val="0"/>
          <w:numId w:val="4"/>
        </w:numPr>
        <w:pBdr>
          <w:top w:val="nil"/>
          <w:left w:val="nil"/>
          <w:bottom w:val="nil"/>
          <w:right w:val="nil"/>
          <w:between w:val="nil"/>
        </w:pBdr>
        <w:tabs>
          <w:tab w:val="left" w:pos="284"/>
        </w:tabs>
        <w:spacing w:after="120" w:line="360" w:lineRule="auto"/>
        <w:ind w:left="0" w:firstLine="0"/>
        <w:jc w:val="both"/>
        <w:rPr>
          <w:rFonts w:ascii="Arial" w:eastAsia="Arial" w:hAnsi="Arial" w:cs="Arial"/>
          <w:color w:val="010000"/>
          <w:sz w:val="20"/>
          <w:szCs w:val="20"/>
        </w:rPr>
      </w:pPr>
      <w:r w:rsidRPr="00D97ED5">
        <w:rPr>
          <w:rFonts w:ascii="Arial" w:hAnsi="Arial" w:cs="Arial"/>
          <w:color w:val="010000"/>
          <w:sz w:val="20"/>
          <w:szCs w:val="20"/>
        </w:rPr>
        <w:t>Agree to authorize the Board of Directors to decide on the audit company as proposed by the Supervisory Board and assign the Company Manager to sign a contract to provide audit services for the Financial Statements 2024 of the Company.</w:t>
      </w:r>
    </w:p>
    <w:p w14:paraId="58039A92" w14:textId="77777777" w:rsidR="005E5AA5" w:rsidRPr="00D97ED5" w:rsidRDefault="00C153A8" w:rsidP="007509CE">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D97ED5">
        <w:rPr>
          <w:rFonts w:ascii="Arial" w:hAnsi="Arial" w:cs="Arial"/>
          <w:color w:val="010000"/>
          <w:sz w:val="20"/>
          <w:szCs w:val="20"/>
        </w:rPr>
        <w:t>Article 6. Approve the proposal to adjust and supplement the organization and operations charter of the Saigon Plant Protection Joint Stock Company.</w:t>
      </w:r>
    </w:p>
    <w:p w14:paraId="1D4DAC95" w14:textId="77777777" w:rsidR="005E5AA5" w:rsidRPr="00D97ED5" w:rsidRDefault="00C153A8" w:rsidP="007509CE">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D97ED5">
        <w:rPr>
          <w:rFonts w:ascii="Arial" w:hAnsi="Arial" w:cs="Arial"/>
          <w:color w:val="010000"/>
          <w:sz w:val="20"/>
          <w:szCs w:val="20"/>
        </w:rPr>
        <w:t xml:space="preserve">The Meeting unanimously approved the proposal to adjust and supplement </w:t>
      </w:r>
      <w:proofErr w:type="gramStart"/>
      <w:r w:rsidRPr="00D97ED5">
        <w:rPr>
          <w:rFonts w:ascii="Arial" w:hAnsi="Arial" w:cs="Arial"/>
          <w:color w:val="010000"/>
          <w:sz w:val="20"/>
          <w:szCs w:val="20"/>
        </w:rPr>
        <w:t>the  organization</w:t>
      </w:r>
      <w:proofErr w:type="gramEnd"/>
      <w:r w:rsidRPr="00D97ED5">
        <w:rPr>
          <w:rFonts w:ascii="Arial" w:hAnsi="Arial" w:cs="Arial"/>
          <w:color w:val="010000"/>
          <w:sz w:val="20"/>
          <w:szCs w:val="20"/>
        </w:rPr>
        <w:t xml:space="preserve"> and operations charter of the Saigon Plant Protection Joint Stock Company.  Assign the Company Manager to be responsible for amending and signing the Company Charter according to the content approved by the General Meeting of Shareholders.</w:t>
      </w:r>
    </w:p>
    <w:p w14:paraId="47E285ED" w14:textId="77777777" w:rsidR="005E5AA5" w:rsidRPr="00D97ED5" w:rsidRDefault="00C153A8" w:rsidP="007509CE">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D97ED5">
        <w:rPr>
          <w:rFonts w:ascii="Arial" w:hAnsi="Arial" w:cs="Arial"/>
          <w:color w:val="010000"/>
          <w:sz w:val="20"/>
          <w:szCs w:val="20"/>
        </w:rPr>
        <w:t>Article 7. Approve the proposal to adjust and supplement the internal regulations on corporate governance.</w:t>
      </w:r>
    </w:p>
    <w:p w14:paraId="5838BEF8" w14:textId="77777777" w:rsidR="005E5AA5" w:rsidRPr="00D97ED5" w:rsidRDefault="00C153A8" w:rsidP="007509CE">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D97ED5">
        <w:rPr>
          <w:rFonts w:ascii="Arial" w:hAnsi="Arial" w:cs="Arial"/>
          <w:color w:val="010000"/>
          <w:sz w:val="20"/>
          <w:szCs w:val="20"/>
        </w:rPr>
        <w:t xml:space="preserve">The Meeting unanimously approved the proposal to adjust and supplement the internal regulations on corporate governance. Assign the Board of Directors to be responsible for amending and signing the </w:t>
      </w:r>
      <w:r w:rsidRPr="00D97ED5">
        <w:rPr>
          <w:rFonts w:ascii="Arial" w:hAnsi="Arial" w:cs="Arial"/>
          <w:color w:val="010000"/>
          <w:sz w:val="20"/>
          <w:szCs w:val="20"/>
        </w:rPr>
        <w:lastRenderedPageBreak/>
        <w:t>internal regulations on corporate governance according to the content approved by the General Meeting of Shareholders.</w:t>
      </w:r>
    </w:p>
    <w:p w14:paraId="14032330" w14:textId="77777777" w:rsidR="005E5AA5" w:rsidRPr="00D97ED5" w:rsidRDefault="00C153A8" w:rsidP="007509CE">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D97ED5">
        <w:rPr>
          <w:rFonts w:ascii="Arial" w:hAnsi="Arial" w:cs="Arial"/>
          <w:color w:val="010000"/>
          <w:sz w:val="20"/>
          <w:szCs w:val="20"/>
        </w:rPr>
        <w:t>Article 8. Approve the proposal to adjust and supplement the operational regulations of the Board of Directors of the Company.</w:t>
      </w:r>
    </w:p>
    <w:p w14:paraId="57699BEA" w14:textId="77777777" w:rsidR="005E5AA5" w:rsidRPr="00D97ED5" w:rsidRDefault="00C153A8" w:rsidP="007509CE">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D97ED5">
        <w:rPr>
          <w:rFonts w:ascii="Arial" w:hAnsi="Arial" w:cs="Arial"/>
          <w:color w:val="010000"/>
          <w:sz w:val="20"/>
          <w:szCs w:val="20"/>
        </w:rPr>
        <w:t>The Meeting unanimously approved the proposal to adjust and supplement the operational regulations of the Board of Directors of the Company. Assign the Board of Directors to be responsible for amending and signing the operational regulations of the Board of Directors of the Company according to the content approved by the General Meeting of Shareholders.</w:t>
      </w:r>
    </w:p>
    <w:p w14:paraId="098F31AF" w14:textId="77777777" w:rsidR="005E5AA5" w:rsidRPr="00D97ED5" w:rsidRDefault="00C153A8" w:rsidP="007509CE">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D97ED5">
        <w:rPr>
          <w:rFonts w:ascii="Arial" w:hAnsi="Arial" w:cs="Arial"/>
          <w:color w:val="010000"/>
          <w:sz w:val="20"/>
          <w:szCs w:val="20"/>
        </w:rPr>
        <w:t>Article 9. Approve the proposal to adjust and supplement the operational regulations of the Supervisory Board of the Company.</w:t>
      </w:r>
    </w:p>
    <w:p w14:paraId="5571B999" w14:textId="77777777" w:rsidR="005E5AA5" w:rsidRPr="00D97ED5" w:rsidRDefault="00C153A8" w:rsidP="007509CE">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D97ED5">
        <w:rPr>
          <w:rFonts w:ascii="Arial" w:hAnsi="Arial" w:cs="Arial"/>
          <w:color w:val="010000"/>
          <w:sz w:val="20"/>
          <w:szCs w:val="20"/>
        </w:rPr>
        <w:t>The Meeting unanimously approved the proposal to adjust and supplement the operational regulations of the Supervisory Board. Assign the Head of the Supervisory Board to be responsible for amending and signing the operational regulations of the Supervisory Board according to the content approved by the General Meeting of Shareholders.</w:t>
      </w:r>
    </w:p>
    <w:p w14:paraId="06EA172D" w14:textId="77777777" w:rsidR="005E5AA5" w:rsidRPr="00D97ED5" w:rsidRDefault="00C153A8" w:rsidP="007509CE">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D97ED5">
        <w:rPr>
          <w:rFonts w:ascii="Arial" w:hAnsi="Arial" w:cs="Arial"/>
          <w:color w:val="010000"/>
          <w:sz w:val="20"/>
          <w:szCs w:val="20"/>
        </w:rPr>
        <w:t>‎‎Article 10. The General Mandate takes effect from June 28, 2024</w:t>
      </w:r>
    </w:p>
    <w:p w14:paraId="5D87BEBC" w14:textId="77777777" w:rsidR="005E5AA5" w:rsidRPr="00D97ED5" w:rsidRDefault="00C153A8" w:rsidP="007509CE">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D97ED5">
        <w:rPr>
          <w:rFonts w:ascii="Arial" w:hAnsi="Arial" w:cs="Arial"/>
          <w:color w:val="010000"/>
          <w:sz w:val="20"/>
          <w:szCs w:val="20"/>
        </w:rPr>
        <w:t xml:space="preserve">The General Mandate was read in front of the General Meeting of Shareholders and approved by the Meeting with 100% approval votes. </w:t>
      </w:r>
      <w:r w:rsidRPr="00D97ED5">
        <w:rPr>
          <w:rFonts w:ascii="Arial" w:hAnsi="Arial" w:cs="Arial"/>
          <w:sz w:val="20"/>
          <w:szCs w:val="20"/>
        </w:rPr>
        <w:t>The Board of Directors is responsible for publishing the General Mandate on the Company's website (www.spchcmc.com.vn) in accordance with the provisions of Law.</w:t>
      </w:r>
    </w:p>
    <w:p w14:paraId="3BAD24A3" w14:textId="5062E8FA" w:rsidR="005E5AA5" w:rsidRPr="00D97ED5" w:rsidRDefault="00C153A8" w:rsidP="007509CE">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D97ED5">
        <w:rPr>
          <w:rFonts w:ascii="Arial" w:hAnsi="Arial" w:cs="Arial"/>
          <w:color w:val="010000"/>
          <w:sz w:val="20"/>
          <w:szCs w:val="20"/>
        </w:rPr>
        <w:t xml:space="preserve">‎‎Article 11. Responsibility for promulgation and implementation of this </w:t>
      </w:r>
      <w:r w:rsidR="00754BC3">
        <w:rPr>
          <w:rFonts w:ascii="Arial" w:hAnsi="Arial" w:cs="Arial"/>
          <w:color w:val="010000"/>
          <w:sz w:val="20"/>
          <w:szCs w:val="20"/>
        </w:rPr>
        <w:t>General Mandate</w:t>
      </w:r>
      <w:r w:rsidRPr="00D97ED5">
        <w:rPr>
          <w:rFonts w:ascii="Arial" w:hAnsi="Arial" w:cs="Arial"/>
          <w:color w:val="010000"/>
          <w:sz w:val="20"/>
          <w:szCs w:val="20"/>
        </w:rPr>
        <w:t>.</w:t>
      </w:r>
    </w:p>
    <w:p w14:paraId="7C636218" w14:textId="253F3548" w:rsidR="005E5AA5" w:rsidRPr="00D97ED5" w:rsidRDefault="00C153A8" w:rsidP="007509CE">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D97ED5">
        <w:rPr>
          <w:rFonts w:ascii="Arial" w:hAnsi="Arial" w:cs="Arial"/>
          <w:color w:val="010000"/>
          <w:sz w:val="20"/>
          <w:szCs w:val="20"/>
        </w:rPr>
        <w:t>The Meeting agreed to assign it to the Board of Directors</w:t>
      </w:r>
      <w:r>
        <w:rPr>
          <w:rFonts w:ascii="Arial" w:hAnsi="Arial" w:cs="Arial"/>
          <w:color w:val="010000"/>
          <w:sz w:val="20"/>
          <w:szCs w:val="20"/>
        </w:rPr>
        <w:t>, t</w:t>
      </w:r>
      <w:r w:rsidRPr="00D97ED5">
        <w:rPr>
          <w:rFonts w:ascii="Arial" w:hAnsi="Arial" w:cs="Arial"/>
          <w:color w:val="010000"/>
          <w:sz w:val="20"/>
          <w:szCs w:val="20"/>
        </w:rPr>
        <w:t>he Supervisory Board and the Executive Board are responsible for thoroughly disseminating, implementing, inspecting, and supervising the implementation process in the spirit of this General Mandate.</w:t>
      </w:r>
    </w:p>
    <w:sectPr w:rsidR="005E5AA5" w:rsidRPr="00D97ED5">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3696C"/>
    <w:multiLevelType w:val="multilevel"/>
    <w:tmpl w:val="48741DDE"/>
    <w:lvl w:ilvl="0">
      <w:start w:val="21"/>
      <w:numFmt w:val="bullet"/>
      <w:lvlText w:val="-"/>
      <w:lvlJc w:val="left"/>
      <w:pPr>
        <w:ind w:left="720" w:hanging="36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szCs w:val="20"/>
      </w:rPr>
    </w:lvl>
    <w:lvl w:ilvl="2">
      <w:start w:val="1"/>
      <w:numFmt w:val="bullet"/>
      <w:lvlText w:val="▪"/>
      <w:lvlJc w:val="left"/>
      <w:pPr>
        <w:ind w:left="2160" w:hanging="360"/>
      </w:pPr>
      <w:rPr>
        <w:rFonts w:ascii="Noto Sans Symbols" w:eastAsia="Noto Sans Symbols" w:hAnsi="Noto Sans Symbols" w:cs="Noto Sans Symbols"/>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BEC1C87"/>
    <w:multiLevelType w:val="multilevel"/>
    <w:tmpl w:val="4D0C52AC"/>
    <w:lvl w:ilvl="0">
      <w:start w:val="1"/>
      <w:numFmt w:val="bullet"/>
      <w:lvlText w:val="❖"/>
      <w:lvlJc w:val="left"/>
      <w:pPr>
        <w:ind w:left="720" w:hanging="360"/>
      </w:pPr>
      <w:rPr>
        <w:rFonts w:ascii="Noto Sans Symbols" w:eastAsia="Noto Sans Symbols" w:hAnsi="Noto Sans Symbols" w:cs="Noto Sans Symbols"/>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szCs w:val="20"/>
      </w:rPr>
    </w:lvl>
    <w:lvl w:ilvl="2">
      <w:start w:val="1"/>
      <w:numFmt w:val="bullet"/>
      <w:lvlText w:val="▪"/>
      <w:lvlJc w:val="left"/>
      <w:pPr>
        <w:ind w:left="2160" w:hanging="360"/>
      </w:pPr>
      <w:rPr>
        <w:rFonts w:ascii="Noto Sans Symbols" w:eastAsia="Noto Sans Symbols" w:hAnsi="Noto Sans Symbols" w:cs="Noto Sans Symbols"/>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9EB12DB"/>
    <w:multiLevelType w:val="multilevel"/>
    <w:tmpl w:val="1AA8E836"/>
    <w:lvl w:ilvl="0">
      <w:start w:val="21"/>
      <w:numFmt w:val="bullet"/>
      <w:lvlText w:val="-"/>
      <w:lvlJc w:val="left"/>
      <w:pPr>
        <w:ind w:left="720" w:hanging="36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szCs w:val="20"/>
      </w:rPr>
    </w:lvl>
    <w:lvl w:ilvl="2">
      <w:start w:val="1"/>
      <w:numFmt w:val="bullet"/>
      <w:lvlText w:val="▪"/>
      <w:lvlJc w:val="left"/>
      <w:pPr>
        <w:ind w:left="2160" w:hanging="360"/>
      </w:pPr>
      <w:rPr>
        <w:rFonts w:ascii="Noto Sans Symbols" w:eastAsia="Noto Sans Symbols" w:hAnsi="Noto Sans Symbols" w:cs="Noto Sans Symbols"/>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9C2052C"/>
    <w:multiLevelType w:val="multilevel"/>
    <w:tmpl w:val="304AF10E"/>
    <w:lvl w:ilvl="0">
      <w:start w:val="21"/>
      <w:numFmt w:val="bullet"/>
      <w:lvlText w:val="-"/>
      <w:lvlJc w:val="left"/>
      <w:pPr>
        <w:ind w:left="720" w:hanging="36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szCs w:val="20"/>
      </w:rPr>
    </w:lvl>
    <w:lvl w:ilvl="2">
      <w:start w:val="1"/>
      <w:numFmt w:val="bullet"/>
      <w:lvlText w:val="▪"/>
      <w:lvlJc w:val="left"/>
      <w:pPr>
        <w:ind w:left="2160" w:hanging="360"/>
      </w:pPr>
      <w:rPr>
        <w:rFonts w:ascii="Noto Sans Symbols" w:eastAsia="Noto Sans Symbols" w:hAnsi="Noto Sans Symbols" w:cs="Noto Sans Symbols"/>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AA5"/>
    <w:rsid w:val="005E5AA5"/>
    <w:rsid w:val="007509CE"/>
    <w:rsid w:val="00754BC3"/>
    <w:rsid w:val="00C153A8"/>
    <w:rsid w:val="00D97ED5"/>
    <w:rsid w:val="00F565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D4297"/>
  <w15:docId w15:val="{3920586A-6096-4587-922D-1F889B4AA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iCs/>
      <w:smallCaps w:val="0"/>
      <w:strike w:val="0"/>
      <w:sz w:val="22"/>
      <w:szCs w:val="22"/>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bCs/>
      <w:i w:val="0"/>
      <w:iCs w:val="0"/>
      <w:smallCaps w:val="0"/>
      <w:strike w:val="0"/>
      <w:color w:val="773743"/>
      <w:sz w:val="16"/>
      <w:szCs w:val="16"/>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42"/>
      <w:szCs w:val="42"/>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Tiu3">
    <w:name w:val="Tiêu đề #3_"/>
    <w:basedOn w:val="DefaultParagraphFont"/>
    <w:link w:val="Tiu30"/>
    <w:rPr>
      <w:rFonts w:ascii="Times New Roman" w:eastAsia="Times New Roman" w:hAnsi="Times New Roman" w:cs="Times New Roman"/>
      <w:b/>
      <w:bCs/>
      <w:i w:val="0"/>
      <w:iCs w:val="0"/>
      <w:smallCaps w:val="0"/>
      <w:strike w:val="0"/>
      <w:sz w:val="26"/>
      <w:szCs w:val="26"/>
      <w:u w:val="none"/>
      <w:shd w:val="clear" w:color="auto" w:fill="auto"/>
    </w:rPr>
  </w:style>
  <w:style w:type="paragraph" w:customStyle="1" w:styleId="Vnbnnidung0">
    <w:name w:val="Văn bản nội dung"/>
    <w:basedOn w:val="Normal"/>
    <w:link w:val="Vnbnnidung"/>
    <w:pPr>
      <w:spacing w:line="293" w:lineRule="auto"/>
      <w:ind w:firstLine="400"/>
    </w:pPr>
    <w:rPr>
      <w:rFonts w:ascii="Times New Roman" w:eastAsia="Times New Roman" w:hAnsi="Times New Roman" w:cs="Times New Roman"/>
      <w:sz w:val="22"/>
      <w:szCs w:val="22"/>
    </w:rPr>
  </w:style>
  <w:style w:type="paragraph" w:customStyle="1" w:styleId="Chthchbng0">
    <w:name w:val="Chú thích bảng"/>
    <w:basedOn w:val="Normal"/>
    <w:link w:val="Chthchbng"/>
    <w:pPr>
      <w:spacing w:line="257" w:lineRule="auto"/>
      <w:ind w:firstLine="280"/>
    </w:pPr>
    <w:rPr>
      <w:rFonts w:ascii="Times New Roman" w:eastAsia="Times New Roman" w:hAnsi="Times New Roman" w:cs="Times New Roman"/>
      <w:i/>
      <w:iCs/>
      <w:sz w:val="22"/>
      <w:szCs w:val="22"/>
    </w:rPr>
  </w:style>
  <w:style w:type="paragraph" w:customStyle="1" w:styleId="Khc0">
    <w:name w:val="Khác"/>
    <w:basedOn w:val="Normal"/>
    <w:link w:val="Khc"/>
    <w:pPr>
      <w:spacing w:line="293" w:lineRule="auto"/>
      <w:ind w:firstLine="400"/>
    </w:pPr>
    <w:rPr>
      <w:rFonts w:ascii="Times New Roman" w:eastAsia="Times New Roman" w:hAnsi="Times New Roman" w:cs="Times New Roman"/>
      <w:sz w:val="22"/>
      <w:szCs w:val="22"/>
    </w:rPr>
  </w:style>
  <w:style w:type="paragraph" w:customStyle="1" w:styleId="Vnbnnidung20">
    <w:name w:val="Văn bản nội dung (2)"/>
    <w:basedOn w:val="Normal"/>
    <w:link w:val="Vnbnnidung2"/>
    <w:pPr>
      <w:spacing w:line="360" w:lineRule="auto"/>
      <w:jc w:val="center"/>
    </w:pPr>
    <w:rPr>
      <w:rFonts w:ascii="Times New Roman" w:eastAsia="Times New Roman" w:hAnsi="Times New Roman" w:cs="Times New Roman"/>
      <w:b/>
      <w:bCs/>
      <w:color w:val="773743"/>
      <w:sz w:val="16"/>
      <w:szCs w:val="16"/>
    </w:rPr>
  </w:style>
  <w:style w:type="paragraph" w:customStyle="1" w:styleId="Tiu10">
    <w:name w:val="Tiêu đề #1"/>
    <w:basedOn w:val="Normal"/>
    <w:link w:val="Tiu1"/>
    <w:pPr>
      <w:jc w:val="center"/>
      <w:outlineLvl w:val="0"/>
    </w:pPr>
    <w:rPr>
      <w:rFonts w:ascii="Times New Roman" w:eastAsia="Times New Roman" w:hAnsi="Times New Roman" w:cs="Times New Roman"/>
      <w:b/>
      <w:bCs/>
      <w:sz w:val="42"/>
      <w:szCs w:val="42"/>
    </w:rPr>
  </w:style>
  <w:style w:type="paragraph" w:customStyle="1" w:styleId="Tiu20">
    <w:name w:val="Tiêu đề #2"/>
    <w:basedOn w:val="Normal"/>
    <w:link w:val="Tiu2"/>
    <w:pPr>
      <w:jc w:val="center"/>
      <w:outlineLvl w:val="1"/>
    </w:pPr>
    <w:rPr>
      <w:rFonts w:ascii="Times New Roman" w:eastAsia="Times New Roman" w:hAnsi="Times New Roman" w:cs="Times New Roman"/>
      <w:b/>
      <w:bCs/>
      <w:sz w:val="28"/>
      <w:szCs w:val="28"/>
    </w:rPr>
  </w:style>
  <w:style w:type="paragraph" w:customStyle="1" w:styleId="Tiu30">
    <w:name w:val="Tiêu đề #3"/>
    <w:basedOn w:val="Normal"/>
    <w:link w:val="Tiu3"/>
    <w:pPr>
      <w:spacing w:line="269" w:lineRule="auto"/>
      <w:jc w:val="center"/>
      <w:outlineLvl w:val="2"/>
    </w:pPr>
    <w:rPr>
      <w:rFonts w:ascii="Times New Roman" w:eastAsia="Times New Roman" w:hAnsi="Times New Roman" w:cs="Times New Roman"/>
      <w:b/>
      <w:bCs/>
      <w:sz w:val="26"/>
      <w:szCs w:val="2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gVoGkYAiyz9/QFzVWNJiXeMU/g==">CgMxLjAyCGguZ2pkZ3hzOAByITE5MEJTUTRDalExOFRidmU0RTlXZUZFX19BU0dLWl9meQ==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1279</Words>
  <Characters>7292</Characters>
  <Application>Microsoft Office Word</Application>
  <DocSecurity>0</DocSecurity>
  <Lines>60</Lines>
  <Paragraphs>17</Paragraphs>
  <ScaleCrop>false</ScaleCrop>
  <Company/>
  <LinksUpToDate>false</LinksUpToDate>
  <CharactersWithSpaces>8554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6</cp:revision>
  <dcterms:created xsi:type="dcterms:W3CDTF">2024-07-02T08:01:00Z</dcterms:created>
  <dcterms:modified xsi:type="dcterms:W3CDTF">2024-07-04T03:51:00Z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bbaffd9f0826aea5b8a70bec5cfb4bcdc3fbebf44bedb7147550523f3feb212e</vt:lpwstr>
  </property>
</Properties>
</file>