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C832" w14:textId="77777777" w:rsidR="001C34EF" w:rsidRDefault="00102474" w:rsidP="00C97B3F">
      <w:pPr>
        <w:keepNext/>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SQC: Annual General Mandate 2024</w:t>
      </w:r>
    </w:p>
    <w:p w14:paraId="65DD2684" w14:textId="29023D2B" w:rsidR="001C34EF" w:rsidRDefault="00102474" w:rsidP="00C97B3F">
      <w:pPr>
        <w:keepNext/>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On June 28, 2024,</w:t>
      </w:r>
      <w:r w:rsidR="00CE05FA">
        <w:rPr>
          <w:rFonts w:ascii="Arial" w:hAnsi="Arial"/>
          <w:sz w:val="20"/>
        </w:rPr>
        <w:t xml:space="preserve">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w:t>
      </w:r>
      <w:proofErr w:type="spellStart"/>
      <w:r>
        <w:rPr>
          <w:rFonts w:ascii="Arial" w:hAnsi="Arial"/>
          <w:sz w:val="20"/>
        </w:rPr>
        <w:t>Quy</w:t>
      </w:r>
      <w:proofErr w:type="spellEnd"/>
      <w:r>
        <w:rPr>
          <w:rFonts w:ascii="Arial" w:hAnsi="Arial"/>
          <w:sz w:val="20"/>
        </w:rPr>
        <w:t xml:space="preserve"> </w:t>
      </w:r>
      <w:proofErr w:type="spellStart"/>
      <w:r>
        <w:rPr>
          <w:rFonts w:ascii="Arial" w:hAnsi="Arial"/>
          <w:sz w:val="20"/>
        </w:rPr>
        <w:t>Nhon</w:t>
      </w:r>
      <w:proofErr w:type="spellEnd"/>
      <w:r>
        <w:rPr>
          <w:rFonts w:ascii="Arial" w:hAnsi="Arial"/>
          <w:sz w:val="20"/>
        </w:rPr>
        <w:t xml:space="preserve"> Mining Corporation announced General Mandate No. 06/2024/NQ-DHDCD/SQC as follows:</w:t>
      </w:r>
    </w:p>
    <w:p w14:paraId="701B75A2"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Report on activities of the Board of Directo</w:t>
      </w:r>
      <w:bookmarkStart w:id="0" w:name="_GoBack"/>
      <w:bookmarkEnd w:id="0"/>
      <w:r>
        <w:rPr>
          <w:rFonts w:ascii="Arial" w:hAnsi="Arial"/>
          <w:sz w:val="20"/>
        </w:rPr>
        <w:t>rs and the Board of Management on activities in 2023 and the operating orientation for 2024.</w:t>
      </w:r>
    </w:p>
    <w:p w14:paraId="687CC654" w14:textId="77777777" w:rsidR="001C34EF" w:rsidRPr="00675F12" w:rsidRDefault="00102474" w:rsidP="00C97B3F">
      <w:pPr>
        <w:pBdr>
          <w:top w:val="nil"/>
          <w:left w:val="nil"/>
          <w:bottom w:val="nil"/>
          <w:right w:val="nil"/>
          <w:between w:val="nil"/>
        </w:pBdr>
        <w:tabs>
          <w:tab w:val="left" w:pos="567"/>
          <w:tab w:val="left" w:pos="6331"/>
        </w:tabs>
        <w:spacing w:after="120" w:line="360" w:lineRule="auto"/>
        <w:jc w:val="both"/>
        <w:rPr>
          <w:rFonts w:ascii="Arial" w:eastAsia="Arial" w:hAnsi="Arial" w:cs="Arial"/>
          <w:color w:val="auto"/>
          <w:sz w:val="20"/>
          <w:szCs w:val="20"/>
        </w:rPr>
      </w:pPr>
      <w:r w:rsidRPr="00675F12">
        <w:rPr>
          <w:rFonts w:ascii="Arial" w:hAnsi="Arial"/>
          <w:color w:val="auto"/>
          <w:sz w:val="20"/>
        </w:rPr>
        <w:t xml:space="preserve">Production and business activities results of the Company are as follows: </w:t>
      </w:r>
    </w:p>
    <w:p w14:paraId="15D175BC" w14:textId="77777777" w:rsidR="001C34EF" w:rsidRPr="00675F12" w:rsidRDefault="00102474" w:rsidP="00102474">
      <w:pPr>
        <w:pBdr>
          <w:top w:val="nil"/>
          <w:left w:val="nil"/>
          <w:bottom w:val="nil"/>
          <w:right w:val="nil"/>
          <w:between w:val="nil"/>
        </w:pBdr>
        <w:tabs>
          <w:tab w:val="left" w:pos="567"/>
          <w:tab w:val="left" w:pos="6331"/>
        </w:tabs>
        <w:spacing w:after="120" w:line="360" w:lineRule="auto"/>
        <w:rPr>
          <w:rFonts w:ascii="Arial" w:eastAsia="Arial" w:hAnsi="Arial" w:cs="Arial"/>
          <w:color w:val="auto"/>
          <w:sz w:val="20"/>
          <w:szCs w:val="20"/>
        </w:rPr>
      </w:pPr>
      <w:r w:rsidRPr="00675F12">
        <w:rPr>
          <w:rFonts w:ascii="Arial" w:hAnsi="Arial"/>
          <w:color w:val="auto"/>
          <w:sz w:val="20"/>
        </w:rPr>
        <w:t>Unit: Thousand VND</w:t>
      </w:r>
    </w:p>
    <w:tbl>
      <w:tblPr>
        <w:tblStyle w:val="a"/>
        <w:tblW w:w="9017" w:type="dxa"/>
        <w:tblLayout w:type="fixed"/>
        <w:tblLook w:val="0400" w:firstRow="0" w:lastRow="0" w:firstColumn="0" w:lastColumn="0" w:noHBand="0" w:noVBand="1"/>
      </w:tblPr>
      <w:tblGrid>
        <w:gridCol w:w="3336"/>
        <w:gridCol w:w="1470"/>
        <w:gridCol w:w="1475"/>
        <w:gridCol w:w="1481"/>
        <w:gridCol w:w="1255"/>
      </w:tblGrid>
      <w:tr w:rsidR="00675F12" w:rsidRPr="00675F12" w14:paraId="4AF6AE0F" w14:textId="77777777">
        <w:tc>
          <w:tcPr>
            <w:tcW w:w="3336" w:type="dxa"/>
            <w:vMerge w:val="restart"/>
            <w:tcBorders>
              <w:top w:val="single" w:sz="4" w:space="0" w:color="000000"/>
              <w:left w:val="single" w:sz="4" w:space="0" w:color="000000"/>
            </w:tcBorders>
            <w:shd w:val="clear" w:color="auto" w:fill="auto"/>
            <w:tcMar>
              <w:top w:w="0" w:type="dxa"/>
              <w:bottom w:w="0" w:type="dxa"/>
            </w:tcMar>
            <w:vAlign w:val="center"/>
          </w:tcPr>
          <w:p w14:paraId="1F9E7262"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Targets</w:t>
            </w:r>
          </w:p>
        </w:tc>
        <w:tc>
          <w:tcPr>
            <w:tcW w:w="1470" w:type="dxa"/>
            <w:vMerge w:val="restart"/>
            <w:tcBorders>
              <w:top w:val="single" w:sz="4" w:space="0" w:color="000000"/>
              <w:left w:val="single" w:sz="4" w:space="0" w:color="000000"/>
            </w:tcBorders>
            <w:shd w:val="clear" w:color="auto" w:fill="auto"/>
            <w:tcMar>
              <w:top w:w="0" w:type="dxa"/>
              <w:bottom w:w="0" w:type="dxa"/>
            </w:tcMar>
            <w:vAlign w:val="center"/>
          </w:tcPr>
          <w:p w14:paraId="1C96DF36"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2023</w:t>
            </w:r>
          </w:p>
        </w:tc>
        <w:tc>
          <w:tcPr>
            <w:tcW w:w="1475" w:type="dxa"/>
            <w:vMerge w:val="restart"/>
            <w:tcBorders>
              <w:top w:val="single" w:sz="4" w:space="0" w:color="000000"/>
              <w:left w:val="single" w:sz="4" w:space="0" w:color="000000"/>
            </w:tcBorders>
            <w:shd w:val="clear" w:color="auto" w:fill="auto"/>
            <w:tcMar>
              <w:top w:w="0" w:type="dxa"/>
              <w:bottom w:w="0" w:type="dxa"/>
            </w:tcMar>
            <w:vAlign w:val="center"/>
          </w:tcPr>
          <w:p w14:paraId="62FDEAA4"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2022</w:t>
            </w:r>
          </w:p>
        </w:tc>
        <w:tc>
          <w:tcPr>
            <w:tcW w:w="273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1F6F1E"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Increase (decrease)</w:t>
            </w:r>
          </w:p>
        </w:tc>
      </w:tr>
      <w:tr w:rsidR="00675F12" w:rsidRPr="00675F12" w14:paraId="146E0C89" w14:textId="77777777">
        <w:tc>
          <w:tcPr>
            <w:tcW w:w="3336" w:type="dxa"/>
            <w:vMerge/>
            <w:tcBorders>
              <w:top w:val="single" w:sz="4" w:space="0" w:color="000000"/>
              <w:left w:val="single" w:sz="4" w:space="0" w:color="000000"/>
            </w:tcBorders>
            <w:shd w:val="clear" w:color="auto" w:fill="auto"/>
            <w:tcMar>
              <w:top w:w="0" w:type="dxa"/>
              <w:bottom w:w="0" w:type="dxa"/>
            </w:tcMar>
            <w:vAlign w:val="center"/>
          </w:tcPr>
          <w:p w14:paraId="74805F52" w14:textId="77777777" w:rsidR="001C34EF" w:rsidRPr="00675F12" w:rsidRDefault="001C34EF" w:rsidP="00675F12">
            <w:pPr>
              <w:pBdr>
                <w:top w:val="nil"/>
                <w:left w:val="nil"/>
                <w:bottom w:val="nil"/>
                <w:right w:val="nil"/>
                <w:between w:val="nil"/>
              </w:pBdr>
              <w:tabs>
                <w:tab w:val="left" w:pos="567"/>
              </w:tabs>
              <w:spacing w:line="276" w:lineRule="auto"/>
              <w:jc w:val="center"/>
              <w:rPr>
                <w:rFonts w:ascii="Arial" w:eastAsia="Arial" w:hAnsi="Arial" w:cs="Arial"/>
                <w:color w:val="auto"/>
                <w:sz w:val="20"/>
                <w:szCs w:val="20"/>
              </w:rPr>
            </w:pPr>
          </w:p>
        </w:tc>
        <w:tc>
          <w:tcPr>
            <w:tcW w:w="1470" w:type="dxa"/>
            <w:vMerge/>
            <w:tcBorders>
              <w:top w:val="single" w:sz="4" w:space="0" w:color="000000"/>
              <w:left w:val="single" w:sz="4" w:space="0" w:color="000000"/>
            </w:tcBorders>
            <w:shd w:val="clear" w:color="auto" w:fill="auto"/>
            <w:tcMar>
              <w:top w:w="0" w:type="dxa"/>
              <w:bottom w:w="0" w:type="dxa"/>
            </w:tcMar>
            <w:vAlign w:val="center"/>
          </w:tcPr>
          <w:p w14:paraId="7BD5BFE0" w14:textId="77777777" w:rsidR="001C34EF" w:rsidRPr="00675F12" w:rsidRDefault="001C34EF" w:rsidP="00675F12">
            <w:pPr>
              <w:pBdr>
                <w:top w:val="nil"/>
                <w:left w:val="nil"/>
                <w:bottom w:val="nil"/>
                <w:right w:val="nil"/>
                <w:between w:val="nil"/>
              </w:pBdr>
              <w:tabs>
                <w:tab w:val="left" w:pos="567"/>
              </w:tabs>
              <w:spacing w:line="276" w:lineRule="auto"/>
              <w:jc w:val="center"/>
              <w:rPr>
                <w:rFonts w:ascii="Arial" w:eastAsia="Arial" w:hAnsi="Arial" w:cs="Arial"/>
                <w:color w:val="auto"/>
                <w:sz w:val="20"/>
                <w:szCs w:val="20"/>
              </w:rPr>
            </w:pPr>
          </w:p>
        </w:tc>
        <w:tc>
          <w:tcPr>
            <w:tcW w:w="1475" w:type="dxa"/>
            <w:vMerge/>
            <w:tcBorders>
              <w:top w:val="single" w:sz="4" w:space="0" w:color="000000"/>
              <w:left w:val="single" w:sz="4" w:space="0" w:color="000000"/>
            </w:tcBorders>
            <w:shd w:val="clear" w:color="auto" w:fill="auto"/>
            <w:tcMar>
              <w:top w:w="0" w:type="dxa"/>
              <w:bottom w:w="0" w:type="dxa"/>
            </w:tcMar>
            <w:vAlign w:val="center"/>
          </w:tcPr>
          <w:p w14:paraId="522EF494" w14:textId="77777777" w:rsidR="001C34EF" w:rsidRPr="00675F12" w:rsidRDefault="001C34EF" w:rsidP="00675F12">
            <w:pPr>
              <w:pBdr>
                <w:top w:val="nil"/>
                <w:left w:val="nil"/>
                <w:bottom w:val="nil"/>
                <w:right w:val="nil"/>
                <w:between w:val="nil"/>
              </w:pBdr>
              <w:tabs>
                <w:tab w:val="left" w:pos="567"/>
              </w:tabs>
              <w:spacing w:line="276" w:lineRule="auto"/>
              <w:jc w:val="center"/>
              <w:rPr>
                <w:rFonts w:ascii="Arial" w:eastAsia="Arial" w:hAnsi="Arial" w:cs="Arial"/>
                <w:color w:val="auto"/>
                <w:sz w:val="20"/>
                <w:szCs w:val="20"/>
              </w:rPr>
            </w:pPr>
          </w:p>
        </w:tc>
        <w:tc>
          <w:tcPr>
            <w:tcW w:w="1481" w:type="dxa"/>
            <w:tcBorders>
              <w:top w:val="single" w:sz="4" w:space="0" w:color="000000"/>
              <w:left w:val="single" w:sz="4" w:space="0" w:color="000000"/>
            </w:tcBorders>
            <w:shd w:val="clear" w:color="auto" w:fill="auto"/>
            <w:tcMar>
              <w:top w:w="0" w:type="dxa"/>
              <w:bottom w:w="0" w:type="dxa"/>
            </w:tcMar>
            <w:vAlign w:val="center"/>
          </w:tcPr>
          <w:p w14:paraId="6E69A383"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Value</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B2B8F2"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w:t>
            </w:r>
          </w:p>
        </w:tc>
      </w:tr>
      <w:tr w:rsidR="00675F12" w:rsidRPr="00675F12" w14:paraId="2426070D" w14:textId="77777777">
        <w:tc>
          <w:tcPr>
            <w:tcW w:w="3336" w:type="dxa"/>
            <w:tcBorders>
              <w:top w:val="single" w:sz="4" w:space="0" w:color="000000"/>
              <w:left w:val="single" w:sz="4" w:space="0" w:color="000000"/>
            </w:tcBorders>
            <w:shd w:val="clear" w:color="auto" w:fill="auto"/>
            <w:tcMar>
              <w:top w:w="0" w:type="dxa"/>
              <w:bottom w:w="0" w:type="dxa"/>
            </w:tcMar>
            <w:vAlign w:val="center"/>
          </w:tcPr>
          <w:p w14:paraId="5CE39778"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Net revenue from goods sales and service provision</w:t>
            </w:r>
          </w:p>
        </w:tc>
        <w:tc>
          <w:tcPr>
            <w:tcW w:w="1470" w:type="dxa"/>
            <w:tcBorders>
              <w:top w:val="single" w:sz="4" w:space="0" w:color="000000"/>
              <w:left w:val="single" w:sz="4" w:space="0" w:color="000000"/>
            </w:tcBorders>
            <w:shd w:val="clear" w:color="auto" w:fill="auto"/>
            <w:tcMar>
              <w:top w:w="0" w:type="dxa"/>
              <w:bottom w:w="0" w:type="dxa"/>
            </w:tcMar>
            <w:vAlign w:val="center"/>
          </w:tcPr>
          <w:p w14:paraId="2236BD2C"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1,551,485</w:t>
            </w:r>
          </w:p>
        </w:tc>
        <w:tc>
          <w:tcPr>
            <w:tcW w:w="1475" w:type="dxa"/>
            <w:tcBorders>
              <w:top w:val="single" w:sz="4" w:space="0" w:color="000000"/>
              <w:left w:val="single" w:sz="4" w:space="0" w:color="000000"/>
            </w:tcBorders>
            <w:shd w:val="clear" w:color="auto" w:fill="auto"/>
            <w:tcMar>
              <w:top w:w="0" w:type="dxa"/>
              <w:bottom w:w="0" w:type="dxa"/>
            </w:tcMar>
            <w:vAlign w:val="center"/>
          </w:tcPr>
          <w:p w14:paraId="29040E03"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1,312,273</w:t>
            </w:r>
          </w:p>
        </w:tc>
        <w:tc>
          <w:tcPr>
            <w:tcW w:w="1481" w:type="dxa"/>
            <w:tcBorders>
              <w:top w:val="single" w:sz="4" w:space="0" w:color="000000"/>
              <w:left w:val="single" w:sz="4" w:space="0" w:color="000000"/>
            </w:tcBorders>
            <w:shd w:val="clear" w:color="auto" w:fill="auto"/>
            <w:tcMar>
              <w:top w:w="0" w:type="dxa"/>
              <w:bottom w:w="0" w:type="dxa"/>
            </w:tcMar>
            <w:vAlign w:val="center"/>
          </w:tcPr>
          <w:p w14:paraId="1B9A5871"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239,212</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3FA83E"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18.2%</w:t>
            </w:r>
          </w:p>
        </w:tc>
      </w:tr>
      <w:tr w:rsidR="00675F12" w:rsidRPr="00675F12" w14:paraId="27C42055" w14:textId="77777777">
        <w:tc>
          <w:tcPr>
            <w:tcW w:w="3336" w:type="dxa"/>
            <w:tcBorders>
              <w:top w:val="single" w:sz="4" w:space="0" w:color="000000"/>
              <w:left w:val="single" w:sz="4" w:space="0" w:color="000000"/>
            </w:tcBorders>
            <w:shd w:val="clear" w:color="auto" w:fill="auto"/>
            <w:tcMar>
              <w:top w:w="0" w:type="dxa"/>
              <w:bottom w:w="0" w:type="dxa"/>
            </w:tcMar>
            <w:vAlign w:val="center"/>
          </w:tcPr>
          <w:p w14:paraId="61E93DDC"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Financial revenue</w:t>
            </w:r>
          </w:p>
        </w:tc>
        <w:tc>
          <w:tcPr>
            <w:tcW w:w="1470" w:type="dxa"/>
            <w:tcBorders>
              <w:top w:val="single" w:sz="4" w:space="0" w:color="000000"/>
              <w:left w:val="single" w:sz="4" w:space="0" w:color="000000"/>
            </w:tcBorders>
            <w:shd w:val="clear" w:color="auto" w:fill="auto"/>
            <w:tcMar>
              <w:top w:w="0" w:type="dxa"/>
              <w:bottom w:w="0" w:type="dxa"/>
            </w:tcMar>
            <w:vAlign w:val="center"/>
          </w:tcPr>
          <w:p w14:paraId="4BF70D58"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125,064</w:t>
            </w:r>
          </w:p>
        </w:tc>
        <w:tc>
          <w:tcPr>
            <w:tcW w:w="1475" w:type="dxa"/>
            <w:tcBorders>
              <w:top w:val="single" w:sz="4" w:space="0" w:color="000000"/>
              <w:left w:val="single" w:sz="4" w:space="0" w:color="000000"/>
            </w:tcBorders>
            <w:shd w:val="clear" w:color="auto" w:fill="auto"/>
            <w:tcMar>
              <w:top w:w="0" w:type="dxa"/>
              <w:bottom w:w="0" w:type="dxa"/>
            </w:tcMar>
            <w:vAlign w:val="center"/>
          </w:tcPr>
          <w:p w14:paraId="5FC7BC70"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89,596</w:t>
            </w:r>
          </w:p>
        </w:tc>
        <w:tc>
          <w:tcPr>
            <w:tcW w:w="1481" w:type="dxa"/>
            <w:tcBorders>
              <w:top w:val="single" w:sz="4" w:space="0" w:color="000000"/>
              <w:left w:val="single" w:sz="4" w:space="0" w:color="000000"/>
            </w:tcBorders>
            <w:shd w:val="clear" w:color="auto" w:fill="auto"/>
            <w:tcMar>
              <w:top w:w="0" w:type="dxa"/>
              <w:bottom w:w="0" w:type="dxa"/>
            </w:tcMar>
            <w:vAlign w:val="center"/>
          </w:tcPr>
          <w:p w14:paraId="0C94FBDE"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35,468</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8F2BB2"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39.6%</w:t>
            </w:r>
          </w:p>
          <w:p w14:paraId="718C2068" w14:textId="77777777" w:rsidR="001C34EF" w:rsidRPr="00675F12" w:rsidRDefault="00102474" w:rsidP="00675F12">
            <w:pPr>
              <w:pBdr>
                <w:top w:val="nil"/>
                <w:left w:val="nil"/>
                <w:bottom w:val="nil"/>
                <w:right w:val="nil"/>
                <w:between w:val="nil"/>
              </w:pBdr>
              <w:tabs>
                <w:tab w:val="left" w:pos="567"/>
                <w:tab w:val="left" w:pos="710"/>
                <w:tab w:val="left" w:pos="1157"/>
              </w:tabs>
              <w:spacing w:after="120" w:line="360" w:lineRule="auto"/>
              <w:jc w:val="right"/>
              <w:rPr>
                <w:rFonts w:ascii="Arial" w:eastAsia="Arial" w:hAnsi="Arial" w:cs="Arial"/>
                <w:color w:val="auto"/>
                <w:sz w:val="20"/>
                <w:szCs w:val="20"/>
              </w:rPr>
            </w:pPr>
            <w:r w:rsidRPr="00675F12">
              <w:rPr>
                <w:rFonts w:ascii="Arial" w:hAnsi="Arial"/>
                <w:color w:val="auto"/>
                <w:sz w:val="20"/>
              </w:rPr>
              <w:t xml:space="preserve">  </w:t>
            </w:r>
          </w:p>
        </w:tc>
      </w:tr>
      <w:tr w:rsidR="00675F12" w:rsidRPr="00675F12" w14:paraId="7424A71A" w14:textId="77777777">
        <w:tc>
          <w:tcPr>
            <w:tcW w:w="3336" w:type="dxa"/>
            <w:tcBorders>
              <w:top w:val="single" w:sz="4" w:space="0" w:color="000000"/>
              <w:left w:val="single" w:sz="4" w:space="0" w:color="000000"/>
            </w:tcBorders>
            <w:shd w:val="clear" w:color="auto" w:fill="auto"/>
            <w:tcMar>
              <w:top w:w="0" w:type="dxa"/>
              <w:bottom w:w="0" w:type="dxa"/>
            </w:tcMar>
            <w:vAlign w:val="center"/>
          </w:tcPr>
          <w:p w14:paraId="2A191BBF"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Other incomes</w:t>
            </w:r>
          </w:p>
        </w:tc>
        <w:tc>
          <w:tcPr>
            <w:tcW w:w="1470" w:type="dxa"/>
            <w:tcBorders>
              <w:top w:val="single" w:sz="4" w:space="0" w:color="000000"/>
              <w:left w:val="single" w:sz="4" w:space="0" w:color="000000"/>
            </w:tcBorders>
            <w:shd w:val="clear" w:color="auto" w:fill="auto"/>
            <w:tcMar>
              <w:top w:w="0" w:type="dxa"/>
              <w:bottom w:w="0" w:type="dxa"/>
            </w:tcMar>
            <w:vAlign w:val="center"/>
          </w:tcPr>
          <w:p w14:paraId="204A3113"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120,265</w:t>
            </w:r>
          </w:p>
        </w:tc>
        <w:tc>
          <w:tcPr>
            <w:tcW w:w="1475" w:type="dxa"/>
            <w:tcBorders>
              <w:top w:val="single" w:sz="4" w:space="0" w:color="000000"/>
              <w:left w:val="single" w:sz="4" w:space="0" w:color="000000"/>
            </w:tcBorders>
            <w:shd w:val="clear" w:color="auto" w:fill="auto"/>
            <w:tcMar>
              <w:top w:w="0" w:type="dxa"/>
              <w:bottom w:w="0" w:type="dxa"/>
            </w:tcMar>
            <w:vAlign w:val="center"/>
          </w:tcPr>
          <w:p w14:paraId="594972B4"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37,955</w:t>
            </w:r>
          </w:p>
        </w:tc>
        <w:tc>
          <w:tcPr>
            <w:tcW w:w="1481" w:type="dxa"/>
            <w:tcBorders>
              <w:top w:val="single" w:sz="4" w:space="0" w:color="000000"/>
              <w:left w:val="single" w:sz="4" w:space="0" w:color="000000"/>
            </w:tcBorders>
            <w:shd w:val="clear" w:color="auto" w:fill="auto"/>
            <w:tcMar>
              <w:top w:w="0" w:type="dxa"/>
              <w:bottom w:w="0" w:type="dxa"/>
            </w:tcMar>
            <w:vAlign w:val="center"/>
          </w:tcPr>
          <w:p w14:paraId="71C24432"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82,310</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BF2614"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216.9%</w:t>
            </w:r>
          </w:p>
        </w:tc>
      </w:tr>
      <w:tr w:rsidR="00675F12" w:rsidRPr="00675F12" w14:paraId="2D75F89F" w14:textId="77777777">
        <w:tc>
          <w:tcPr>
            <w:tcW w:w="3336" w:type="dxa"/>
            <w:tcBorders>
              <w:top w:val="single" w:sz="4" w:space="0" w:color="000000"/>
              <w:left w:val="single" w:sz="4" w:space="0" w:color="000000"/>
            </w:tcBorders>
            <w:shd w:val="clear" w:color="auto" w:fill="auto"/>
            <w:tcMar>
              <w:top w:w="0" w:type="dxa"/>
              <w:bottom w:w="0" w:type="dxa"/>
            </w:tcMar>
            <w:vAlign w:val="center"/>
          </w:tcPr>
          <w:p w14:paraId="3D2B887B"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Total revenue and other incomes</w:t>
            </w:r>
          </w:p>
        </w:tc>
        <w:tc>
          <w:tcPr>
            <w:tcW w:w="1470" w:type="dxa"/>
            <w:tcBorders>
              <w:top w:val="single" w:sz="4" w:space="0" w:color="000000"/>
              <w:left w:val="single" w:sz="4" w:space="0" w:color="000000"/>
            </w:tcBorders>
            <w:shd w:val="clear" w:color="auto" w:fill="auto"/>
            <w:tcMar>
              <w:top w:w="0" w:type="dxa"/>
              <w:bottom w:w="0" w:type="dxa"/>
            </w:tcMar>
            <w:vAlign w:val="center"/>
          </w:tcPr>
          <w:p w14:paraId="4A1FB039"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1,796,815</w:t>
            </w:r>
          </w:p>
        </w:tc>
        <w:tc>
          <w:tcPr>
            <w:tcW w:w="1475" w:type="dxa"/>
            <w:tcBorders>
              <w:top w:val="single" w:sz="4" w:space="0" w:color="000000"/>
              <w:left w:val="single" w:sz="4" w:space="0" w:color="000000"/>
            </w:tcBorders>
            <w:shd w:val="clear" w:color="auto" w:fill="auto"/>
            <w:tcMar>
              <w:top w:w="0" w:type="dxa"/>
              <w:bottom w:w="0" w:type="dxa"/>
            </w:tcMar>
            <w:vAlign w:val="center"/>
          </w:tcPr>
          <w:p w14:paraId="3CB856DF"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1,439,823</w:t>
            </w:r>
          </w:p>
        </w:tc>
        <w:tc>
          <w:tcPr>
            <w:tcW w:w="1481" w:type="dxa"/>
            <w:tcBorders>
              <w:top w:val="single" w:sz="4" w:space="0" w:color="000000"/>
              <w:left w:val="single" w:sz="4" w:space="0" w:color="000000"/>
            </w:tcBorders>
            <w:shd w:val="clear" w:color="auto" w:fill="auto"/>
            <w:tcMar>
              <w:top w:w="0" w:type="dxa"/>
              <w:bottom w:w="0" w:type="dxa"/>
            </w:tcMar>
            <w:vAlign w:val="center"/>
          </w:tcPr>
          <w:p w14:paraId="06E96C87"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356,991</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F51D68"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24.8%</w:t>
            </w:r>
          </w:p>
        </w:tc>
      </w:tr>
      <w:tr w:rsidR="00675F12" w:rsidRPr="00675F12" w14:paraId="54F47FC6" w14:textId="77777777">
        <w:tc>
          <w:tcPr>
            <w:tcW w:w="3336" w:type="dxa"/>
            <w:tcBorders>
              <w:top w:val="single" w:sz="4" w:space="0" w:color="000000"/>
              <w:left w:val="single" w:sz="4" w:space="0" w:color="000000"/>
            </w:tcBorders>
            <w:shd w:val="clear" w:color="auto" w:fill="auto"/>
            <w:tcMar>
              <w:top w:w="0" w:type="dxa"/>
              <w:bottom w:w="0" w:type="dxa"/>
            </w:tcMar>
            <w:vAlign w:val="center"/>
          </w:tcPr>
          <w:p w14:paraId="21CFBD70"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Total profit (loss) after tax</w:t>
            </w:r>
          </w:p>
        </w:tc>
        <w:tc>
          <w:tcPr>
            <w:tcW w:w="1470" w:type="dxa"/>
            <w:tcBorders>
              <w:top w:val="single" w:sz="4" w:space="0" w:color="000000"/>
              <w:left w:val="single" w:sz="4" w:space="0" w:color="000000"/>
            </w:tcBorders>
            <w:shd w:val="clear" w:color="auto" w:fill="auto"/>
            <w:tcMar>
              <w:top w:w="0" w:type="dxa"/>
              <w:bottom w:w="0" w:type="dxa"/>
            </w:tcMar>
            <w:vAlign w:val="center"/>
          </w:tcPr>
          <w:p w14:paraId="39A324B7"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(38,571,924)</w:t>
            </w:r>
          </w:p>
        </w:tc>
        <w:tc>
          <w:tcPr>
            <w:tcW w:w="1475" w:type="dxa"/>
            <w:tcBorders>
              <w:top w:val="single" w:sz="4" w:space="0" w:color="000000"/>
              <w:left w:val="single" w:sz="4" w:space="0" w:color="000000"/>
            </w:tcBorders>
            <w:shd w:val="clear" w:color="auto" w:fill="auto"/>
            <w:tcMar>
              <w:top w:w="0" w:type="dxa"/>
              <w:bottom w:w="0" w:type="dxa"/>
            </w:tcMar>
            <w:vAlign w:val="center"/>
          </w:tcPr>
          <w:p w14:paraId="42C44EB5"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(25,916,187)</w:t>
            </w:r>
          </w:p>
        </w:tc>
        <w:tc>
          <w:tcPr>
            <w:tcW w:w="1481" w:type="dxa"/>
            <w:tcBorders>
              <w:top w:val="single" w:sz="4" w:space="0" w:color="000000"/>
              <w:left w:val="single" w:sz="4" w:space="0" w:color="000000"/>
            </w:tcBorders>
            <w:shd w:val="clear" w:color="auto" w:fill="auto"/>
            <w:tcMar>
              <w:top w:w="0" w:type="dxa"/>
              <w:bottom w:w="0" w:type="dxa"/>
            </w:tcMar>
            <w:vAlign w:val="center"/>
          </w:tcPr>
          <w:p w14:paraId="000C4183"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(12,655,737)</w:t>
            </w:r>
          </w:p>
        </w:tc>
        <w:tc>
          <w:tcPr>
            <w:tcW w:w="125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39E434"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48.83%</w:t>
            </w:r>
          </w:p>
        </w:tc>
      </w:tr>
      <w:tr w:rsidR="00675F12" w:rsidRPr="00675F12" w14:paraId="49AA24E8" w14:textId="77777777">
        <w:tc>
          <w:tcPr>
            <w:tcW w:w="33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D6B129"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Basic earnings (loss) per share (VND/share)</w:t>
            </w:r>
          </w:p>
        </w:tc>
        <w:tc>
          <w:tcPr>
            <w:tcW w:w="14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5750C1"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(359)</w:t>
            </w:r>
          </w:p>
        </w:tc>
        <w:tc>
          <w:tcPr>
            <w:tcW w:w="14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1D44E"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(242)</w:t>
            </w:r>
          </w:p>
        </w:tc>
        <w:tc>
          <w:tcPr>
            <w:tcW w:w="14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FA8629"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bookmarkStart w:id="1" w:name="_heading=h.gjdgxs"/>
            <w:bookmarkEnd w:id="1"/>
            <w:r w:rsidRPr="00675F12">
              <w:rPr>
                <w:rFonts w:ascii="Arial" w:hAnsi="Arial"/>
                <w:color w:val="auto"/>
                <w:sz w:val="20"/>
              </w:rPr>
              <w:t>(117)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993DB"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48.83%</w:t>
            </w:r>
          </w:p>
        </w:tc>
      </w:tr>
    </w:tbl>
    <w:p w14:paraId="59FC77F4"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4"/>
        <w:gridCol w:w="1903"/>
      </w:tblGrid>
      <w:tr w:rsidR="00675F12" w:rsidRPr="00675F12" w14:paraId="37507353" w14:textId="77777777">
        <w:tc>
          <w:tcPr>
            <w:tcW w:w="7114" w:type="dxa"/>
            <w:shd w:val="clear" w:color="auto" w:fill="auto"/>
            <w:tcMar>
              <w:top w:w="0" w:type="dxa"/>
              <w:bottom w:w="0" w:type="dxa"/>
            </w:tcMar>
            <w:vAlign w:val="center"/>
          </w:tcPr>
          <w:p w14:paraId="4592A9AD"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Targets</w:t>
            </w:r>
          </w:p>
        </w:tc>
        <w:tc>
          <w:tcPr>
            <w:tcW w:w="1903" w:type="dxa"/>
            <w:shd w:val="clear" w:color="auto" w:fill="auto"/>
            <w:tcMar>
              <w:top w:w="0" w:type="dxa"/>
              <w:bottom w:w="0" w:type="dxa"/>
            </w:tcMar>
            <w:vAlign w:val="center"/>
          </w:tcPr>
          <w:p w14:paraId="26842A1D" w14:textId="77777777" w:rsidR="001C34EF" w:rsidRPr="00675F12" w:rsidRDefault="00102474" w:rsidP="00675F12">
            <w:pPr>
              <w:pBdr>
                <w:top w:val="nil"/>
                <w:left w:val="nil"/>
                <w:bottom w:val="nil"/>
                <w:right w:val="nil"/>
                <w:between w:val="nil"/>
              </w:pBdr>
              <w:tabs>
                <w:tab w:val="left" w:pos="567"/>
              </w:tabs>
              <w:spacing w:after="120" w:line="360" w:lineRule="auto"/>
              <w:jc w:val="center"/>
              <w:rPr>
                <w:rFonts w:ascii="Arial" w:eastAsia="Arial" w:hAnsi="Arial" w:cs="Arial"/>
                <w:color w:val="auto"/>
                <w:sz w:val="20"/>
                <w:szCs w:val="20"/>
              </w:rPr>
            </w:pPr>
            <w:r w:rsidRPr="00675F12">
              <w:rPr>
                <w:rFonts w:ascii="Arial" w:hAnsi="Arial"/>
                <w:color w:val="auto"/>
                <w:sz w:val="20"/>
              </w:rPr>
              <w:t>2024</w:t>
            </w:r>
          </w:p>
        </w:tc>
      </w:tr>
      <w:tr w:rsidR="00675F12" w:rsidRPr="00675F12" w14:paraId="029E1EA4" w14:textId="77777777">
        <w:tc>
          <w:tcPr>
            <w:tcW w:w="7114" w:type="dxa"/>
            <w:shd w:val="clear" w:color="auto" w:fill="auto"/>
            <w:tcMar>
              <w:top w:w="0" w:type="dxa"/>
              <w:bottom w:w="0" w:type="dxa"/>
            </w:tcMar>
            <w:vAlign w:val="center"/>
          </w:tcPr>
          <w:p w14:paraId="24651A5C"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Charter capital (million VND)</w:t>
            </w:r>
          </w:p>
        </w:tc>
        <w:tc>
          <w:tcPr>
            <w:tcW w:w="1903" w:type="dxa"/>
            <w:shd w:val="clear" w:color="auto" w:fill="auto"/>
            <w:tcMar>
              <w:top w:w="0" w:type="dxa"/>
              <w:bottom w:w="0" w:type="dxa"/>
            </w:tcMar>
            <w:vAlign w:val="center"/>
          </w:tcPr>
          <w:p w14:paraId="55B101C7"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1,100,000</w:t>
            </w:r>
          </w:p>
        </w:tc>
      </w:tr>
      <w:tr w:rsidR="00675F12" w:rsidRPr="00675F12" w14:paraId="2BF9FA74" w14:textId="77777777">
        <w:tc>
          <w:tcPr>
            <w:tcW w:w="7114" w:type="dxa"/>
            <w:shd w:val="clear" w:color="auto" w:fill="auto"/>
            <w:tcMar>
              <w:top w:w="0" w:type="dxa"/>
              <w:bottom w:w="0" w:type="dxa"/>
            </w:tcMar>
            <w:vAlign w:val="center"/>
          </w:tcPr>
          <w:p w14:paraId="070A29E9"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Revenue (million VND)</w:t>
            </w:r>
          </w:p>
        </w:tc>
        <w:tc>
          <w:tcPr>
            <w:tcW w:w="1903" w:type="dxa"/>
            <w:shd w:val="clear" w:color="auto" w:fill="auto"/>
            <w:tcMar>
              <w:top w:w="0" w:type="dxa"/>
              <w:bottom w:w="0" w:type="dxa"/>
            </w:tcMar>
            <w:vAlign w:val="center"/>
          </w:tcPr>
          <w:p w14:paraId="2BF68931"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2,150</w:t>
            </w:r>
          </w:p>
        </w:tc>
      </w:tr>
      <w:tr w:rsidR="00675F12" w:rsidRPr="00675F12" w14:paraId="597E6A5B" w14:textId="77777777">
        <w:tc>
          <w:tcPr>
            <w:tcW w:w="7114" w:type="dxa"/>
            <w:shd w:val="clear" w:color="auto" w:fill="auto"/>
            <w:tcMar>
              <w:top w:w="0" w:type="dxa"/>
              <w:bottom w:w="0" w:type="dxa"/>
            </w:tcMar>
            <w:vAlign w:val="center"/>
          </w:tcPr>
          <w:p w14:paraId="300A00AE"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Profit before tax (million VND)</w:t>
            </w:r>
          </w:p>
        </w:tc>
        <w:tc>
          <w:tcPr>
            <w:tcW w:w="1903" w:type="dxa"/>
            <w:shd w:val="clear" w:color="auto" w:fill="auto"/>
            <w:tcMar>
              <w:top w:w="0" w:type="dxa"/>
              <w:bottom w:w="0" w:type="dxa"/>
            </w:tcMar>
            <w:vAlign w:val="center"/>
          </w:tcPr>
          <w:p w14:paraId="0AC8EED0"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59</w:t>
            </w:r>
          </w:p>
        </w:tc>
      </w:tr>
      <w:tr w:rsidR="00675F12" w:rsidRPr="00675F12" w14:paraId="41A3466B" w14:textId="77777777">
        <w:tc>
          <w:tcPr>
            <w:tcW w:w="7114" w:type="dxa"/>
            <w:shd w:val="clear" w:color="auto" w:fill="auto"/>
            <w:tcMar>
              <w:top w:w="0" w:type="dxa"/>
              <w:bottom w:w="0" w:type="dxa"/>
            </w:tcMar>
            <w:vAlign w:val="center"/>
          </w:tcPr>
          <w:p w14:paraId="61C2FD82"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Profit after tax/Revenue (%)</w:t>
            </w:r>
          </w:p>
        </w:tc>
        <w:tc>
          <w:tcPr>
            <w:tcW w:w="1903" w:type="dxa"/>
            <w:shd w:val="clear" w:color="auto" w:fill="auto"/>
            <w:tcMar>
              <w:top w:w="0" w:type="dxa"/>
              <w:bottom w:w="0" w:type="dxa"/>
            </w:tcMar>
            <w:vAlign w:val="center"/>
          </w:tcPr>
          <w:p w14:paraId="108461A9"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2.7%</w:t>
            </w:r>
          </w:p>
        </w:tc>
      </w:tr>
      <w:tr w:rsidR="00675F12" w:rsidRPr="00675F12" w14:paraId="00536DDB" w14:textId="77777777">
        <w:tc>
          <w:tcPr>
            <w:tcW w:w="7114" w:type="dxa"/>
            <w:shd w:val="clear" w:color="auto" w:fill="auto"/>
            <w:tcMar>
              <w:top w:w="0" w:type="dxa"/>
              <w:bottom w:w="0" w:type="dxa"/>
            </w:tcMar>
            <w:vAlign w:val="center"/>
          </w:tcPr>
          <w:p w14:paraId="2FD14F4A" w14:textId="77777777" w:rsidR="001C34EF" w:rsidRPr="00675F12" w:rsidRDefault="00102474" w:rsidP="00102474">
            <w:pPr>
              <w:pBdr>
                <w:top w:val="nil"/>
                <w:left w:val="nil"/>
                <w:bottom w:val="nil"/>
                <w:right w:val="nil"/>
                <w:between w:val="nil"/>
              </w:pBdr>
              <w:tabs>
                <w:tab w:val="left" w:pos="567"/>
              </w:tabs>
              <w:spacing w:after="120" w:line="360" w:lineRule="auto"/>
              <w:rPr>
                <w:rFonts w:ascii="Arial" w:eastAsia="Arial" w:hAnsi="Arial" w:cs="Arial"/>
                <w:color w:val="auto"/>
                <w:sz w:val="20"/>
                <w:szCs w:val="20"/>
              </w:rPr>
            </w:pPr>
            <w:r w:rsidRPr="00675F12">
              <w:rPr>
                <w:rFonts w:ascii="Arial" w:hAnsi="Arial"/>
                <w:color w:val="auto"/>
                <w:sz w:val="20"/>
              </w:rPr>
              <w:t>Profit/owners’ investment equity</w:t>
            </w:r>
          </w:p>
        </w:tc>
        <w:tc>
          <w:tcPr>
            <w:tcW w:w="1903" w:type="dxa"/>
            <w:shd w:val="clear" w:color="auto" w:fill="auto"/>
            <w:tcMar>
              <w:top w:w="0" w:type="dxa"/>
              <w:bottom w:w="0" w:type="dxa"/>
            </w:tcMar>
            <w:vAlign w:val="center"/>
          </w:tcPr>
          <w:p w14:paraId="0BDB8A40" w14:textId="77777777" w:rsidR="001C34EF" w:rsidRPr="00675F12" w:rsidRDefault="00102474" w:rsidP="00675F12">
            <w:pPr>
              <w:pBdr>
                <w:top w:val="nil"/>
                <w:left w:val="nil"/>
                <w:bottom w:val="nil"/>
                <w:right w:val="nil"/>
                <w:between w:val="nil"/>
              </w:pBdr>
              <w:tabs>
                <w:tab w:val="left" w:pos="567"/>
              </w:tabs>
              <w:spacing w:after="120" w:line="360" w:lineRule="auto"/>
              <w:jc w:val="right"/>
              <w:rPr>
                <w:rFonts w:ascii="Arial" w:eastAsia="Arial" w:hAnsi="Arial" w:cs="Arial"/>
                <w:color w:val="auto"/>
                <w:sz w:val="20"/>
                <w:szCs w:val="20"/>
              </w:rPr>
            </w:pPr>
            <w:r w:rsidRPr="00675F12">
              <w:rPr>
                <w:rFonts w:ascii="Arial" w:hAnsi="Arial"/>
                <w:color w:val="auto"/>
                <w:sz w:val="20"/>
              </w:rPr>
              <w:t>0.005%</w:t>
            </w:r>
          </w:p>
        </w:tc>
      </w:tr>
    </w:tbl>
    <w:p w14:paraId="65807146"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Approve the Report on activities of the Supervisory Board in 2023.</w:t>
      </w:r>
    </w:p>
    <w:p w14:paraId="0B866CAA"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3. Approve the Financial Statements 2023 audited by Moore AISC Auditing and Informatics Services Company Limited</w:t>
      </w:r>
    </w:p>
    <w:p w14:paraId="3F036E41"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4. Approve the content on selecting the audit company for the Financial Statements 2024:</w:t>
      </w:r>
    </w:p>
    <w:p w14:paraId="01A98BCF"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The Board of Managers selects from among the following audit companies to audit the Financial Statements 2024 and review the Quarterly Financial Statements (if necessary according to </w:t>
      </w:r>
      <w:r>
        <w:rPr>
          <w:rFonts w:ascii="Arial" w:hAnsi="Arial"/>
          <w:sz w:val="20"/>
        </w:rPr>
        <w:lastRenderedPageBreak/>
        <w:t>regulations)</w:t>
      </w:r>
    </w:p>
    <w:p w14:paraId="60652FA8" w14:textId="77777777" w:rsidR="001C34EF" w:rsidRDefault="00102474" w:rsidP="00C97B3F">
      <w:pPr>
        <w:numPr>
          <w:ilvl w:val="0"/>
          <w:numId w:val="1"/>
        </w:numPr>
        <w:pBdr>
          <w:top w:val="nil"/>
          <w:left w:val="nil"/>
          <w:bottom w:val="nil"/>
          <w:right w:val="nil"/>
          <w:between w:val="nil"/>
        </w:pBdr>
        <w:tabs>
          <w:tab w:val="left" w:pos="567"/>
          <w:tab w:val="left" w:pos="1736"/>
        </w:tabs>
        <w:spacing w:after="120" w:line="360" w:lineRule="auto"/>
        <w:jc w:val="both"/>
        <w:rPr>
          <w:rFonts w:ascii="Arial" w:eastAsia="Arial" w:hAnsi="Arial" w:cs="Arial"/>
          <w:sz w:val="20"/>
          <w:szCs w:val="20"/>
        </w:rPr>
      </w:pPr>
      <w:r>
        <w:rPr>
          <w:rFonts w:ascii="Arial" w:hAnsi="Arial"/>
          <w:sz w:val="20"/>
        </w:rPr>
        <w:t>CPA Vietnam Auditing Company Limited;</w:t>
      </w:r>
    </w:p>
    <w:p w14:paraId="24E2275C" w14:textId="77777777" w:rsidR="001C34EF" w:rsidRDefault="00102474" w:rsidP="00C97B3F">
      <w:pPr>
        <w:numPr>
          <w:ilvl w:val="0"/>
          <w:numId w:val="1"/>
        </w:numPr>
        <w:pBdr>
          <w:top w:val="nil"/>
          <w:left w:val="nil"/>
          <w:bottom w:val="nil"/>
          <w:right w:val="nil"/>
          <w:between w:val="nil"/>
        </w:pBdr>
        <w:tabs>
          <w:tab w:val="left" w:pos="567"/>
          <w:tab w:val="left" w:pos="1736"/>
        </w:tabs>
        <w:spacing w:after="120" w:line="360" w:lineRule="auto"/>
        <w:jc w:val="both"/>
        <w:rPr>
          <w:rFonts w:ascii="Arial" w:eastAsia="Arial" w:hAnsi="Arial" w:cs="Arial"/>
          <w:sz w:val="20"/>
          <w:szCs w:val="20"/>
        </w:rPr>
      </w:pPr>
      <w:r>
        <w:rPr>
          <w:rFonts w:ascii="Arial" w:hAnsi="Arial"/>
          <w:sz w:val="20"/>
        </w:rPr>
        <w:t>Moore AISC Auditing and Informatics Services Company Limited;</w:t>
      </w:r>
    </w:p>
    <w:p w14:paraId="130CC5DF" w14:textId="77777777" w:rsidR="001C34EF" w:rsidRDefault="00102474" w:rsidP="00C97B3F">
      <w:pPr>
        <w:numPr>
          <w:ilvl w:val="0"/>
          <w:numId w:val="1"/>
        </w:numPr>
        <w:pBdr>
          <w:top w:val="nil"/>
          <w:left w:val="nil"/>
          <w:bottom w:val="nil"/>
          <w:right w:val="nil"/>
          <w:between w:val="nil"/>
        </w:pBdr>
        <w:tabs>
          <w:tab w:val="left" w:pos="567"/>
          <w:tab w:val="left" w:pos="1736"/>
        </w:tabs>
        <w:spacing w:after="120" w:line="360" w:lineRule="auto"/>
        <w:jc w:val="both"/>
        <w:rPr>
          <w:rFonts w:ascii="Arial" w:eastAsia="Arial" w:hAnsi="Arial" w:cs="Arial"/>
          <w:sz w:val="20"/>
          <w:szCs w:val="20"/>
        </w:rPr>
      </w:pPr>
      <w:r>
        <w:rPr>
          <w:rFonts w:ascii="Arial" w:hAnsi="Arial"/>
          <w:sz w:val="20"/>
        </w:rPr>
        <w:t>AASC Auditing Firm Company Limited;</w:t>
      </w:r>
    </w:p>
    <w:p w14:paraId="6C0FC07E" w14:textId="77777777" w:rsidR="001C34EF" w:rsidRDefault="00102474" w:rsidP="00C97B3F">
      <w:pPr>
        <w:numPr>
          <w:ilvl w:val="0"/>
          <w:numId w:val="1"/>
        </w:numPr>
        <w:pBdr>
          <w:top w:val="nil"/>
          <w:left w:val="nil"/>
          <w:bottom w:val="nil"/>
          <w:right w:val="nil"/>
          <w:between w:val="nil"/>
        </w:pBdr>
        <w:tabs>
          <w:tab w:val="left" w:pos="567"/>
          <w:tab w:val="left" w:pos="1736"/>
        </w:tabs>
        <w:spacing w:after="120" w:line="360" w:lineRule="auto"/>
        <w:jc w:val="both"/>
        <w:rPr>
          <w:rFonts w:ascii="Arial" w:eastAsia="Arial" w:hAnsi="Arial" w:cs="Arial"/>
          <w:sz w:val="20"/>
          <w:szCs w:val="20"/>
        </w:rPr>
      </w:pPr>
      <w:r>
        <w:rPr>
          <w:rFonts w:ascii="Arial" w:hAnsi="Arial"/>
          <w:sz w:val="20"/>
        </w:rPr>
        <w:t>A&amp;C Auditing and Consulting Company Limited;</w:t>
      </w:r>
    </w:p>
    <w:p w14:paraId="3358A2BA" w14:textId="77777777" w:rsidR="001C34EF" w:rsidRDefault="00102474" w:rsidP="00C97B3F">
      <w:pPr>
        <w:numPr>
          <w:ilvl w:val="0"/>
          <w:numId w:val="1"/>
        </w:numPr>
        <w:pBdr>
          <w:top w:val="nil"/>
          <w:left w:val="nil"/>
          <w:bottom w:val="nil"/>
          <w:right w:val="nil"/>
          <w:between w:val="nil"/>
        </w:pBdr>
        <w:tabs>
          <w:tab w:val="left" w:pos="567"/>
          <w:tab w:val="left" w:pos="1736"/>
        </w:tabs>
        <w:spacing w:after="120" w:line="360" w:lineRule="auto"/>
        <w:jc w:val="both"/>
        <w:rPr>
          <w:rFonts w:ascii="Arial" w:eastAsia="Arial" w:hAnsi="Arial" w:cs="Arial"/>
          <w:sz w:val="20"/>
          <w:szCs w:val="20"/>
        </w:rPr>
      </w:pPr>
      <w:r>
        <w:rPr>
          <w:rFonts w:ascii="Arial" w:hAnsi="Arial"/>
          <w:sz w:val="20"/>
        </w:rPr>
        <w:t>Vietnam Auditing and Evaluation Co., Ltd.</w:t>
      </w:r>
    </w:p>
    <w:p w14:paraId="6A678446"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 case of disappointment with the above audit companies on audit progress and expenses, the Board of Directors can select from among the remaining audit companies in the list of audit companies approved by State Securities Commission to review and audit the Financial Statements.</w:t>
      </w:r>
    </w:p>
    <w:p w14:paraId="204A4EF1"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5. Approve the profit distribution, appropriation for funds, and remuneration payment for the Board of Directors and the Supervisory Board: Not implementing appropriation for funds nor remuneration payment for the Board of Directors and the Supervisory Board</w:t>
      </w:r>
    </w:p>
    <w:p w14:paraId="5DC34166"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6. Approve on promulgating operational Regulations the Board of Directors and operational Regulations of the Supervisory Board:</w:t>
      </w:r>
    </w:p>
    <w:p w14:paraId="26B0DBB2"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Approve the content of the operational Regulations of the Board of Directors</w:t>
      </w:r>
    </w:p>
    <w:p w14:paraId="69E8F5E2"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Approve the content of the operational Regulations of the Supervisory Board</w:t>
      </w:r>
    </w:p>
    <w:p w14:paraId="292DBE1D"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Authorize the Chair of the Board of Directors to sign the promulgation of operational regulations of the Board of Directors and authorize the Chief of the Supervisory Board to sign the promulgation of operational regulations of the Supervisory Board.</w:t>
      </w:r>
    </w:p>
    <w:p w14:paraId="5AE31E4C"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7. Approve the election of members of the Board of Directors for the term 2024-2029:</w:t>
      </w:r>
    </w:p>
    <w:p w14:paraId="560E398D"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the Board of Directors includes the following members:</w:t>
      </w:r>
    </w:p>
    <w:p w14:paraId="7AC2BE4B" w14:textId="77777777" w:rsidR="001C34EF" w:rsidRDefault="00102474" w:rsidP="00C97B3F">
      <w:pPr>
        <w:numPr>
          <w:ilvl w:val="0"/>
          <w:numId w:val="2"/>
        </w:numPr>
        <w:pBdr>
          <w:top w:val="nil"/>
          <w:left w:val="nil"/>
          <w:bottom w:val="nil"/>
          <w:right w:val="nil"/>
          <w:between w:val="nil"/>
        </w:pBdr>
        <w:tabs>
          <w:tab w:val="left" w:pos="567"/>
          <w:tab w:val="left" w:pos="1593"/>
        </w:tabs>
        <w:spacing w:after="120" w:line="360" w:lineRule="auto"/>
        <w:jc w:val="both"/>
        <w:rPr>
          <w:rFonts w:ascii="Arial" w:eastAsia="Arial" w:hAnsi="Arial" w:cs="Arial"/>
          <w:sz w:val="20"/>
          <w:szCs w:val="20"/>
        </w:rPr>
      </w:pPr>
      <w:r>
        <w:rPr>
          <w:rFonts w:ascii="Arial" w:hAnsi="Arial"/>
          <w:sz w:val="20"/>
        </w:rPr>
        <w:t xml:space="preserve">Mr. Nguyen Van Huan </w:t>
      </w:r>
    </w:p>
    <w:p w14:paraId="1C0B4EEA" w14:textId="77777777" w:rsidR="001C34EF" w:rsidRDefault="00102474" w:rsidP="00C97B3F">
      <w:pPr>
        <w:numPr>
          <w:ilvl w:val="0"/>
          <w:numId w:val="2"/>
        </w:numPr>
        <w:pBdr>
          <w:top w:val="nil"/>
          <w:left w:val="nil"/>
          <w:bottom w:val="nil"/>
          <w:right w:val="nil"/>
          <w:between w:val="nil"/>
        </w:pBdr>
        <w:tabs>
          <w:tab w:val="left" w:pos="567"/>
          <w:tab w:val="left" w:pos="1593"/>
        </w:tabs>
        <w:spacing w:after="120" w:line="360" w:lineRule="auto"/>
        <w:jc w:val="both"/>
        <w:rPr>
          <w:rFonts w:ascii="Arial" w:eastAsia="Arial" w:hAnsi="Arial" w:cs="Arial"/>
          <w:sz w:val="20"/>
          <w:szCs w:val="20"/>
        </w:rPr>
      </w:pPr>
      <w:r>
        <w:rPr>
          <w:rFonts w:ascii="Arial" w:hAnsi="Arial"/>
          <w:sz w:val="20"/>
        </w:rPr>
        <w:t xml:space="preserve">Ms. Tran Thi Lan Anh </w:t>
      </w:r>
    </w:p>
    <w:p w14:paraId="78DF30A9" w14:textId="77777777" w:rsidR="001C34EF" w:rsidRDefault="00102474" w:rsidP="00C97B3F">
      <w:pPr>
        <w:numPr>
          <w:ilvl w:val="0"/>
          <w:numId w:val="2"/>
        </w:numPr>
        <w:pBdr>
          <w:top w:val="nil"/>
          <w:left w:val="nil"/>
          <w:bottom w:val="nil"/>
          <w:right w:val="nil"/>
          <w:between w:val="nil"/>
        </w:pBdr>
        <w:tabs>
          <w:tab w:val="left" w:pos="567"/>
          <w:tab w:val="left" w:pos="1593"/>
        </w:tabs>
        <w:spacing w:after="120" w:line="360" w:lineRule="auto"/>
        <w:jc w:val="both"/>
        <w:rPr>
          <w:rFonts w:ascii="Arial" w:eastAsia="Arial" w:hAnsi="Arial" w:cs="Arial"/>
          <w:sz w:val="20"/>
          <w:szCs w:val="20"/>
        </w:rPr>
      </w:pPr>
      <w:r>
        <w:rPr>
          <w:rFonts w:ascii="Arial" w:hAnsi="Arial"/>
          <w:sz w:val="20"/>
        </w:rPr>
        <w:t xml:space="preserve">Ms. Tran Thi Lan Anh </w:t>
      </w:r>
    </w:p>
    <w:p w14:paraId="255AB271" w14:textId="77777777" w:rsidR="001C34EF" w:rsidRDefault="00102474" w:rsidP="00C97B3F">
      <w:pPr>
        <w:numPr>
          <w:ilvl w:val="0"/>
          <w:numId w:val="2"/>
        </w:numPr>
        <w:pBdr>
          <w:top w:val="nil"/>
          <w:left w:val="nil"/>
          <w:bottom w:val="nil"/>
          <w:right w:val="nil"/>
          <w:between w:val="nil"/>
        </w:pBdr>
        <w:tabs>
          <w:tab w:val="left" w:pos="567"/>
          <w:tab w:val="left" w:pos="1595"/>
        </w:tabs>
        <w:spacing w:after="120" w:line="360" w:lineRule="auto"/>
        <w:jc w:val="both"/>
        <w:rPr>
          <w:rFonts w:ascii="Arial" w:eastAsia="Arial" w:hAnsi="Arial" w:cs="Arial"/>
          <w:sz w:val="20"/>
          <w:szCs w:val="20"/>
        </w:rPr>
      </w:pPr>
      <w:r>
        <w:rPr>
          <w:rFonts w:ascii="Arial" w:hAnsi="Arial"/>
          <w:sz w:val="20"/>
        </w:rPr>
        <w:t xml:space="preserve"> Mr. Ngo Trung Linh</w:t>
      </w:r>
    </w:p>
    <w:p w14:paraId="237C5405" w14:textId="77777777" w:rsidR="001C34EF" w:rsidRDefault="00102474" w:rsidP="00C97B3F">
      <w:pPr>
        <w:numPr>
          <w:ilvl w:val="0"/>
          <w:numId w:val="2"/>
        </w:numPr>
        <w:pBdr>
          <w:top w:val="nil"/>
          <w:left w:val="nil"/>
          <w:bottom w:val="nil"/>
          <w:right w:val="nil"/>
          <w:between w:val="nil"/>
        </w:pBdr>
        <w:tabs>
          <w:tab w:val="left" w:pos="567"/>
          <w:tab w:val="left" w:pos="1595"/>
        </w:tabs>
        <w:spacing w:after="120" w:line="360" w:lineRule="auto"/>
        <w:jc w:val="both"/>
        <w:rPr>
          <w:rFonts w:ascii="Arial" w:eastAsia="Arial" w:hAnsi="Arial" w:cs="Arial"/>
          <w:sz w:val="20"/>
          <w:szCs w:val="20"/>
        </w:rPr>
      </w:pPr>
      <w:r>
        <w:rPr>
          <w:rFonts w:ascii="Arial" w:hAnsi="Arial"/>
          <w:sz w:val="20"/>
        </w:rPr>
        <w:t xml:space="preserve"> Ms. Hoang Thi Kim Hien</w:t>
      </w:r>
    </w:p>
    <w:p w14:paraId="73B01BC8"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8. Approve the election of members of the Supervisory Board for the term 2024-2029. the Supervisory Board includes the following members:</w:t>
      </w:r>
    </w:p>
    <w:p w14:paraId="4626AAF0" w14:textId="77777777" w:rsidR="001C34EF" w:rsidRDefault="00102474" w:rsidP="00C97B3F">
      <w:pPr>
        <w:numPr>
          <w:ilvl w:val="0"/>
          <w:numId w:val="3"/>
        </w:numPr>
        <w:pBdr>
          <w:top w:val="nil"/>
          <w:left w:val="nil"/>
          <w:bottom w:val="nil"/>
          <w:right w:val="nil"/>
          <w:between w:val="nil"/>
        </w:pBdr>
        <w:tabs>
          <w:tab w:val="left" w:pos="567"/>
          <w:tab w:val="left" w:pos="1593"/>
        </w:tabs>
        <w:spacing w:after="120" w:line="360" w:lineRule="auto"/>
        <w:jc w:val="both"/>
        <w:rPr>
          <w:rFonts w:ascii="Arial" w:eastAsia="Arial" w:hAnsi="Arial" w:cs="Arial"/>
          <w:sz w:val="20"/>
          <w:szCs w:val="20"/>
        </w:rPr>
      </w:pPr>
      <w:r>
        <w:rPr>
          <w:rFonts w:ascii="Arial" w:hAnsi="Arial"/>
          <w:sz w:val="20"/>
        </w:rPr>
        <w:t xml:space="preserve"> Ms. Cao Thi Thanh Ha</w:t>
      </w:r>
    </w:p>
    <w:p w14:paraId="54788696" w14:textId="77777777" w:rsidR="001C34EF" w:rsidRDefault="00102474" w:rsidP="00C97B3F">
      <w:pPr>
        <w:numPr>
          <w:ilvl w:val="0"/>
          <w:numId w:val="3"/>
        </w:numPr>
        <w:pBdr>
          <w:top w:val="nil"/>
          <w:left w:val="nil"/>
          <w:bottom w:val="nil"/>
          <w:right w:val="nil"/>
          <w:between w:val="nil"/>
        </w:pBdr>
        <w:tabs>
          <w:tab w:val="left" w:pos="567"/>
          <w:tab w:val="left" w:pos="1593"/>
          <w:tab w:val="left" w:pos="9977"/>
        </w:tabs>
        <w:spacing w:after="120" w:line="360" w:lineRule="auto"/>
        <w:jc w:val="both"/>
        <w:rPr>
          <w:rFonts w:ascii="Arial" w:eastAsia="Arial" w:hAnsi="Arial" w:cs="Arial"/>
          <w:sz w:val="20"/>
          <w:szCs w:val="20"/>
        </w:rPr>
      </w:pPr>
      <w:r>
        <w:rPr>
          <w:rFonts w:ascii="Arial" w:hAnsi="Arial"/>
          <w:sz w:val="20"/>
        </w:rPr>
        <w:t xml:space="preserve"> Mr. Do Van Kiem</w:t>
      </w:r>
    </w:p>
    <w:p w14:paraId="2ED01AAF" w14:textId="77777777" w:rsidR="001C34EF" w:rsidRDefault="00102474" w:rsidP="00C97B3F">
      <w:pPr>
        <w:numPr>
          <w:ilvl w:val="0"/>
          <w:numId w:val="3"/>
        </w:numPr>
        <w:pBdr>
          <w:top w:val="nil"/>
          <w:left w:val="nil"/>
          <w:bottom w:val="nil"/>
          <w:right w:val="nil"/>
          <w:between w:val="nil"/>
        </w:pBdr>
        <w:tabs>
          <w:tab w:val="left" w:pos="567"/>
          <w:tab w:val="left" w:pos="1593"/>
        </w:tabs>
        <w:spacing w:after="120" w:line="360" w:lineRule="auto"/>
        <w:jc w:val="both"/>
        <w:rPr>
          <w:rFonts w:ascii="Arial" w:eastAsia="Arial" w:hAnsi="Arial" w:cs="Arial"/>
          <w:sz w:val="20"/>
          <w:szCs w:val="20"/>
        </w:rPr>
      </w:pPr>
      <w:r>
        <w:rPr>
          <w:rFonts w:ascii="Arial" w:hAnsi="Arial"/>
          <w:sz w:val="20"/>
        </w:rPr>
        <w:t xml:space="preserve"> Ms. Pham Thi Dong</w:t>
      </w:r>
    </w:p>
    <w:p w14:paraId="009C7E86"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9. Approve the content of the plan on capital structure and divestment in 2023 and authorize </w:t>
      </w:r>
      <w:r>
        <w:rPr>
          <w:rFonts w:ascii="Arial" w:hAnsi="Arial"/>
          <w:sz w:val="20"/>
        </w:rPr>
        <w:lastRenderedPageBreak/>
        <w:t>the Board of Directors to continue to seek an appropriate and effective structure plan for 2024.</w:t>
      </w:r>
    </w:p>
    <w:p w14:paraId="0EAE9115"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10. Approve on assigning the Board of Directors and the Board of Managers to implement relevant procedures according to regulations if the Company is not eligible as a public company according to the provisions of law.</w:t>
      </w:r>
    </w:p>
    <w:p w14:paraId="5A008129"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11. Terms of enforcement</w:t>
      </w:r>
    </w:p>
    <w:p w14:paraId="6067DF84"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This General Mandate was approved in full text by the General Meeting of Shareholders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w:t>
      </w:r>
      <w:proofErr w:type="spellStart"/>
      <w:r>
        <w:rPr>
          <w:rFonts w:ascii="Arial" w:hAnsi="Arial"/>
          <w:sz w:val="20"/>
        </w:rPr>
        <w:t>Quy</w:t>
      </w:r>
      <w:proofErr w:type="spellEnd"/>
      <w:r>
        <w:rPr>
          <w:rFonts w:ascii="Arial" w:hAnsi="Arial"/>
          <w:sz w:val="20"/>
        </w:rPr>
        <w:t xml:space="preserve"> </w:t>
      </w:r>
      <w:proofErr w:type="spellStart"/>
      <w:r>
        <w:rPr>
          <w:rFonts w:ascii="Arial" w:hAnsi="Arial"/>
          <w:sz w:val="20"/>
        </w:rPr>
        <w:t>Nhon</w:t>
      </w:r>
      <w:proofErr w:type="spellEnd"/>
      <w:r>
        <w:rPr>
          <w:rFonts w:ascii="Arial" w:hAnsi="Arial"/>
          <w:sz w:val="20"/>
        </w:rPr>
        <w:t xml:space="preserve"> Mining Corporation and takes effect from the date of its signing.</w:t>
      </w:r>
    </w:p>
    <w:p w14:paraId="0BF6B667" w14:textId="77777777" w:rsidR="001C34EF" w:rsidRDefault="00102474" w:rsidP="00C97B3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Shareholders, members of the Board of Directors, the Supervisory Board, the Board of Management, relevant individuals, and departments/divisions are responsible for implementing this General Mandate./.</w:t>
      </w:r>
    </w:p>
    <w:p w14:paraId="12C05308" w14:textId="77777777" w:rsidR="001C34EF" w:rsidRDefault="001C34EF" w:rsidP="00C97B3F">
      <w:pPr>
        <w:tabs>
          <w:tab w:val="left" w:pos="567"/>
        </w:tabs>
        <w:spacing w:after="120" w:line="360" w:lineRule="auto"/>
        <w:jc w:val="both"/>
        <w:rPr>
          <w:rFonts w:ascii="Arial" w:eastAsia="Arial" w:hAnsi="Arial" w:cs="Arial"/>
          <w:sz w:val="20"/>
          <w:szCs w:val="20"/>
        </w:rPr>
      </w:pPr>
    </w:p>
    <w:sectPr w:rsidR="001C34E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F98"/>
    <w:multiLevelType w:val="multilevel"/>
    <w:tmpl w:val="EFF8B4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3B1D11"/>
    <w:multiLevelType w:val="multilevel"/>
    <w:tmpl w:val="B97EAD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E50BB7"/>
    <w:multiLevelType w:val="multilevel"/>
    <w:tmpl w:val="4E8014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F"/>
    <w:rsid w:val="00102474"/>
    <w:rsid w:val="001C34EF"/>
    <w:rsid w:val="00675F12"/>
    <w:rsid w:val="00C97B3F"/>
    <w:rsid w:val="00CE0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60">
    <w:name w:val="Body text (6)"/>
    <w:basedOn w:val="Normal"/>
    <w:link w:val="Bodytext6"/>
    <w:rPr>
      <w:rFonts w:ascii="Arial" w:eastAsia="Arial" w:hAnsi="Arial" w:cs="Arial"/>
      <w:sz w:val="11"/>
      <w:szCs w:val="11"/>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Arial" w:eastAsia="Arial" w:hAnsi="Arial" w:cs="Arial"/>
      <w:sz w:val="20"/>
      <w:szCs w:val="20"/>
    </w:rPr>
  </w:style>
  <w:style w:type="paragraph" w:customStyle="1" w:styleId="Tableofcontents0">
    <w:name w:val="Table of contents"/>
    <w:basedOn w:val="Normal"/>
    <w:link w:val="Tableofcontents"/>
    <w:pPr>
      <w:spacing w:line="151" w:lineRule="auto"/>
      <w:ind w:firstLine="220"/>
    </w:pPr>
    <w:rPr>
      <w:rFonts w:ascii="Arial" w:eastAsia="Arial" w:hAnsi="Arial" w:cs="Arial"/>
      <w:b/>
      <w:bCs/>
      <w:sz w:val="8"/>
      <w:szCs w:val="8"/>
    </w:rPr>
  </w:style>
  <w:style w:type="paragraph" w:customStyle="1" w:styleId="Bodytext40">
    <w:name w:val="Body text (4)"/>
    <w:basedOn w:val="Normal"/>
    <w:link w:val="Bodytext4"/>
    <w:pPr>
      <w:spacing w:line="180" w:lineRule="auto"/>
    </w:pPr>
    <w:rPr>
      <w:rFonts w:ascii="Times New Roman" w:eastAsia="Times New Roman" w:hAnsi="Times New Roman" w:cs="Times New Roman"/>
      <w:smallCaps/>
      <w:sz w:val="30"/>
      <w:szCs w:val="30"/>
    </w:rPr>
  </w:style>
  <w:style w:type="paragraph" w:customStyle="1" w:styleId="Bodytext30">
    <w:name w:val="Body text (3)"/>
    <w:basedOn w:val="Normal"/>
    <w:link w:val="Bodytext3"/>
    <w:rPr>
      <w:rFonts w:ascii="Arial" w:eastAsia="Arial" w:hAnsi="Arial" w:cs="Arial"/>
      <w:i/>
      <w:iCs/>
      <w:sz w:val="17"/>
      <w:szCs w:val="17"/>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Heading21">
    <w:name w:val="Heading #2"/>
    <w:basedOn w:val="Normal"/>
    <w:link w:val="Heading20"/>
    <w:pPr>
      <w:spacing w:line="245" w:lineRule="auto"/>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ind w:left="444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60">
    <w:name w:val="Body text (6)"/>
    <w:basedOn w:val="Normal"/>
    <w:link w:val="Bodytext6"/>
    <w:rPr>
      <w:rFonts w:ascii="Arial" w:eastAsia="Arial" w:hAnsi="Arial" w:cs="Arial"/>
      <w:sz w:val="11"/>
      <w:szCs w:val="11"/>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Arial" w:eastAsia="Arial" w:hAnsi="Arial" w:cs="Arial"/>
      <w:sz w:val="20"/>
      <w:szCs w:val="20"/>
    </w:rPr>
  </w:style>
  <w:style w:type="paragraph" w:customStyle="1" w:styleId="Tableofcontents0">
    <w:name w:val="Table of contents"/>
    <w:basedOn w:val="Normal"/>
    <w:link w:val="Tableofcontents"/>
    <w:pPr>
      <w:spacing w:line="151" w:lineRule="auto"/>
      <w:ind w:firstLine="220"/>
    </w:pPr>
    <w:rPr>
      <w:rFonts w:ascii="Arial" w:eastAsia="Arial" w:hAnsi="Arial" w:cs="Arial"/>
      <w:b/>
      <w:bCs/>
      <w:sz w:val="8"/>
      <w:szCs w:val="8"/>
    </w:rPr>
  </w:style>
  <w:style w:type="paragraph" w:customStyle="1" w:styleId="Bodytext40">
    <w:name w:val="Body text (4)"/>
    <w:basedOn w:val="Normal"/>
    <w:link w:val="Bodytext4"/>
    <w:pPr>
      <w:spacing w:line="180" w:lineRule="auto"/>
    </w:pPr>
    <w:rPr>
      <w:rFonts w:ascii="Times New Roman" w:eastAsia="Times New Roman" w:hAnsi="Times New Roman" w:cs="Times New Roman"/>
      <w:smallCaps/>
      <w:sz w:val="30"/>
      <w:szCs w:val="30"/>
    </w:rPr>
  </w:style>
  <w:style w:type="paragraph" w:customStyle="1" w:styleId="Bodytext30">
    <w:name w:val="Body text (3)"/>
    <w:basedOn w:val="Normal"/>
    <w:link w:val="Bodytext3"/>
    <w:rPr>
      <w:rFonts w:ascii="Arial" w:eastAsia="Arial" w:hAnsi="Arial" w:cs="Arial"/>
      <w:i/>
      <w:iCs/>
      <w:sz w:val="17"/>
      <w:szCs w:val="17"/>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Heading21">
    <w:name w:val="Heading #2"/>
    <w:basedOn w:val="Normal"/>
    <w:link w:val="Heading20"/>
    <w:pPr>
      <w:spacing w:line="245" w:lineRule="auto"/>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ind w:left="444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1zl+k+7c/bCVV6GownsLlUUTHg==">CgMxLjAyCGguZ2pkZ3hzOAByITFYR0g5X0VHSGxxczVJUVFJU1JUQmV4czczNXRCSFN2Mw==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 Anh</dc:creator>
  <cp:lastModifiedBy>Tran Ha Anh</cp:lastModifiedBy>
  <cp:revision>2</cp:revision>
  <dcterms:created xsi:type="dcterms:W3CDTF">2024-07-04T09:05:00Z</dcterms:created>
  <dcterms:modified xsi:type="dcterms:W3CDTF">2024-07-04T09:05:00Z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e243fef2e85ef00f34c04794d080d41331eed42bdcbb0b87432e4f4f7ea98716</vt:lpwstr>
  </property>
</Properties>
</file>