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55B26" w14:textId="77777777" w:rsidR="00F9057F" w:rsidRDefault="00F9057F" w:rsidP="00587076">
      <w:pPr>
        <w:pStyle w:val="Vnbnnidung0"/>
        <w:spacing w:after="120" w:line="360" w:lineRule="auto"/>
        <w:ind w:firstLine="0"/>
        <w:jc w:val="both"/>
        <w:rPr>
          <w:rFonts w:ascii="Arial" w:hAnsi="Arial" w:cs="Arial"/>
          <w:b/>
          <w:bCs/>
          <w:color w:val="010000"/>
          <w:sz w:val="20"/>
          <w:szCs w:val="22"/>
        </w:rPr>
      </w:pPr>
      <w:r>
        <w:rPr>
          <w:rFonts w:ascii="Arial" w:hAnsi="Arial"/>
          <w:b/>
          <w:color w:val="010000"/>
          <w:sz w:val="20"/>
        </w:rPr>
        <w:t>SSM: Annual General Mandate 2024</w:t>
      </w:r>
      <w:bookmarkStart w:id="0" w:name="_GoBack"/>
      <w:bookmarkEnd w:id="0"/>
    </w:p>
    <w:p w14:paraId="06166F7D" w14:textId="77777777" w:rsidR="00E75906" w:rsidRPr="007E333A" w:rsidRDefault="00F9057F" w:rsidP="00587076">
      <w:pPr>
        <w:pStyle w:val="Vnbnnidung0"/>
        <w:spacing w:after="120" w:line="360" w:lineRule="auto"/>
        <w:ind w:firstLine="0"/>
        <w:jc w:val="both"/>
        <w:rPr>
          <w:rFonts w:ascii="Arial" w:hAnsi="Arial" w:cs="Arial"/>
          <w:iCs/>
          <w:color w:val="010000"/>
          <w:sz w:val="20"/>
        </w:rPr>
      </w:pPr>
      <w:r>
        <w:rPr>
          <w:rFonts w:ascii="Arial" w:hAnsi="Arial"/>
          <w:color w:val="010000"/>
          <w:sz w:val="20"/>
        </w:rPr>
        <w:t xml:space="preserve">On June 26, 2024, Steel Structure Manufacture JSC announced General Mandate No. 242NQ/DHDCD-VNECO.SSM as follows: </w:t>
      </w:r>
    </w:p>
    <w:p w14:paraId="25BFD39C" w14:textId="77777777" w:rsidR="00E75906" w:rsidRPr="00F9057F" w:rsidRDefault="007C7DCE" w:rsidP="00587076">
      <w:pPr>
        <w:pStyle w:val="Vnbnnidung0"/>
        <w:spacing w:after="120" w:line="360" w:lineRule="auto"/>
        <w:ind w:firstLine="0"/>
        <w:jc w:val="both"/>
        <w:rPr>
          <w:rFonts w:ascii="Arial" w:hAnsi="Arial" w:cs="Arial"/>
          <w:color w:val="010000"/>
          <w:sz w:val="20"/>
        </w:rPr>
      </w:pPr>
      <w:r>
        <w:rPr>
          <w:rFonts w:ascii="Arial" w:hAnsi="Arial"/>
          <w:color w:val="010000"/>
          <w:sz w:val="20"/>
        </w:rPr>
        <w:t>Article 1: Approve the results of production and business activities in 2023 and the production and business plan for 2024 according to the Report presented by the Executive Board of the Company with main contents as follows:</w:t>
      </w:r>
    </w:p>
    <w:p w14:paraId="4B25C48D" w14:textId="77777777" w:rsidR="00E75906" w:rsidRPr="007E333A" w:rsidRDefault="007C7DCE" w:rsidP="00587076">
      <w:pPr>
        <w:pStyle w:val="Vnbnnidung0"/>
        <w:numPr>
          <w:ilvl w:val="0"/>
          <w:numId w:val="1"/>
        </w:numPr>
        <w:tabs>
          <w:tab w:val="left" w:pos="681"/>
        </w:tabs>
        <w:spacing w:after="120" w:line="360" w:lineRule="auto"/>
        <w:ind w:firstLine="0"/>
        <w:jc w:val="both"/>
        <w:rPr>
          <w:rFonts w:ascii="Arial" w:hAnsi="Arial" w:cs="Arial"/>
          <w:color w:val="010000"/>
          <w:sz w:val="20"/>
        </w:rPr>
      </w:pPr>
      <w:r>
        <w:rPr>
          <w:rFonts w:ascii="Arial" w:hAnsi="Arial"/>
          <w:color w:val="010000"/>
          <w:sz w:val="20"/>
        </w:rPr>
        <w:t>Production and business results in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7E333A" w14:paraId="2E5974DC" w14:textId="77777777" w:rsidTr="007E333A">
        <w:tc>
          <w:tcPr>
            <w:tcW w:w="4508" w:type="dxa"/>
          </w:tcPr>
          <w:p w14:paraId="02F23240" w14:textId="77777777" w:rsidR="007E333A" w:rsidRDefault="007E333A" w:rsidP="00587076">
            <w:pPr>
              <w:pStyle w:val="Vnbnnidung0"/>
              <w:numPr>
                <w:ilvl w:val="0"/>
                <w:numId w:val="2"/>
              </w:numPr>
              <w:tabs>
                <w:tab w:val="left" w:pos="681"/>
              </w:tabs>
              <w:spacing w:after="120" w:line="360" w:lineRule="auto"/>
              <w:ind w:firstLine="0"/>
              <w:jc w:val="both"/>
              <w:rPr>
                <w:rFonts w:ascii="Arial" w:hAnsi="Arial" w:cs="Arial"/>
                <w:color w:val="010000"/>
                <w:sz w:val="20"/>
              </w:rPr>
            </w:pPr>
            <w:r>
              <w:rPr>
                <w:rFonts w:ascii="Arial" w:hAnsi="Arial"/>
                <w:color w:val="010000"/>
                <w:sz w:val="20"/>
              </w:rPr>
              <w:t>Output value: VND152,807 million.</w:t>
            </w:r>
          </w:p>
        </w:tc>
        <w:tc>
          <w:tcPr>
            <w:tcW w:w="4509" w:type="dxa"/>
          </w:tcPr>
          <w:p w14:paraId="207E74F4" w14:textId="77777777" w:rsidR="007E333A" w:rsidRPr="007E333A" w:rsidRDefault="007E333A" w:rsidP="00587076">
            <w:pPr>
              <w:pStyle w:val="Vnbnnidung0"/>
              <w:numPr>
                <w:ilvl w:val="0"/>
                <w:numId w:val="2"/>
              </w:numPr>
              <w:tabs>
                <w:tab w:val="left" w:pos="785"/>
                <w:tab w:val="left" w:pos="4948"/>
              </w:tabs>
              <w:spacing w:after="120" w:line="360" w:lineRule="auto"/>
              <w:ind w:firstLine="0"/>
              <w:jc w:val="both"/>
              <w:rPr>
                <w:rFonts w:ascii="Arial" w:hAnsi="Arial" w:cs="Arial"/>
                <w:color w:val="010000"/>
                <w:sz w:val="20"/>
              </w:rPr>
            </w:pPr>
            <w:r>
              <w:rPr>
                <w:rFonts w:ascii="Arial" w:hAnsi="Arial"/>
                <w:color w:val="010000"/>
                <w:sz w:val="20"/>
              </w:rPr>
              <w:t xml:space="preserve"> Revenue: VND137,557 million.</w:t>
            </w:r>
          </w:p>
        </w:tc>
      </w:tr>
      <w:tr w:rsidR="007E333A" w14:paraId="3F1BF317" w14:textId="77777777" w:rsidTr="007E333A">
        <w:tc>
          <w:tcPr>
            <w:tcW w:w="4508" w:type="dxa"/>
          </w:tcPr>
          <w:p w14:paraId="38E4D997" w14:textId="77777777" w:rsidR="007E333A" w:rsidRDefault="007E333A" w:rsidP="00587076">
            <w:pPr>
              <w:pStyle w:val="Vnbnnidung0"/>
              <w:tabs>
                <w:tab w:val="left" w:pos="681"/>
              </w:tabs>
              <w:spacing w:after="120" w:line="360" w:lineRule="auto"/>
              <w:ind w:firstLine="0"/>
              <w:jc w:val="both"/>
              <w:rPr>
                <w:rFonts w:ascii="Arial" w:hAnsi="Arial" w:cs="Arial"/>
                <w:color w:val="010000"/>
                <w:sz w:val="20"/>
              </w:rPr>
            </w:pPr>
            <w:r>
              <w:rPr>
                <w:rFonts w:ascii="Arial" w:hAnsi="Arial"/>
                <w:color w:val="010000"/>
                <w:sz w:val="20"/>
              </w:rPr>
              <w:t>Profit after tax: VND1,486 million</w:t>
            </w:r>
          </w:p>
        </w:tc>
        <w:tc>
          <w:tcPr>
            <w:tcW w:w="4509" w:type="dxa"/>
          </w:tcPr>
          <w:p w14:paraId="3E7C3C23" w14:textId="7A461685" w:rsidR="007E333A" w:rsidRPr="007E333A" w:rsidRDefault="007E333A" w:rsidP="00587076">
            <w:pPr>
              <w:pStyle w:val="Vnbnnidung0"/>
              <w:numPr>
                <w:ilvl w:val="0"/>
                <w:numId w:val="2"/>
              </w:numPr>
              <w:tabs>
                <w:tab w:val="left" w:pos="788"/>
                <w:tab w:val="left" w:pos="4948"/>
              </w:tabs>
              <w:spacing w:after="120" w:line="360" w:lineRule="auto"/>
              <w:ind w:firstLine="0"/>
              <w:jc w:val="both"/>
              <w:rPr>
                <w:rFonts w:ascii="Arial" w:hAnsi="Arial" w:cs="Arial"/>
                <w:color w:val="010000"/>
                <w:sz w:val="20"/>
              </w:rPr>
            </w:pPr>
            <w:r>
              <w:rPr>
                <w:rFonts w:ascii="Arial" w:hAnsi="Arial"/>
                <w:color w:val="010000"/>
                <w:sz w:val="20"/>
              </w:rPr>
              <w:t>Dividend rate: 0%</w:t>
            </w:r>
          </w:p>
        </w:tc>
      </w:tr>
    </w:tbl>
    <w:p w14:paraId="2E49942C" w14:textId="77777777" w:rsidR="00E75906" w:rsidRPr="007E333A" w:rsidRDefault="007C7DCE" w:rsidP="00587076">
      <w:pPr>
        <w:pStyle w:val="Vnbnnidung0"/>
        <w:numPr>
          <w:ilvl w:val="0"/>
          <w:numId w:val="1"/>
        </w:numPr>
        <w:tabs>
          <w:tab w:val="left" w:pos="681"/>
        </w:tabs>
        <w:spacing w:after="120" w:line="360" w:lineRule="auto"/>
        <w:ind w:firstLine="0"/>
        <w:jc w:val="both"/>
        <w:rPr>
          <w:rFonts w:ascii="Arial" w:hAnsi="Arial" w:cs="Arial"/>
          <w:color w:val="010000"/>
          <w:sz w:val="20"/>
        </w:rPr>
      </w:pPr>
      <w:r>
        <w:rPr>
          <w:rFonts w:ascii="Arial" w:hAnsi="Arial"/>
          <w:color w:val="010000"/>
          <w:sz w:val="20"/>
        </w:rPr>
        <w:t>Production and business plan for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7E333A" w14:paraId="0DB23E37" w14:textId="77777777" w:rsidTr="00D802DC">
        <w:tc>
          <w:tcPr>
            <w:tcW w:w="4508" w:type="dxa"/>
          </w:tcPr>
          <w:p w14:paraId="57C61527" w14:textId="77777777" w:rsidR="007E333A" w:rsidRDefault="007E333A" w:rsidP="00587076">
            <w:pPr>
              <w:pStyle w:val="Vnbnnidung0"/>
              <w:numPr>
                <w:ilvl w:val="0"/>
                <w:numId w:val="2"/>
              </w:numPr>
              <w:tabs>
                <w:tab w:val="left" w:pos="681"/>
              </w:tabs>
              <w:spacing w:after="120" w:line="360" w:lineRule="auto"/>
              <w:ind w:firstLine="0"/>
              <w:jc w:val="both"/>
              <w:rPr>
                <w:rFonts w:ascii="Arial" w:hAnsi="Arial" w:cs="Arial"/>
                <w:color w:val="010000"/>
                <w:sz w:val="20"/>
              </w:rPr>
            </w:pPr>
            <w:r>
              <w:rPr>
                <w:rFonts w:ascii="Arial" w:hAnsi="Arial"/>
                <w:color w:val="010000"/>
                <w:sz w:val="20"/>
              </w:rPr>
              <w:t>Output value: VND370,191 million.</w:t>
            </w:r>
          </w:p>
        </w:tc>
        <w:tc>
          <w:tcPr>
            <w:tcW w:w="4509" w:type="dxa"/>
          </w:tcPr>
          <w:p w14:paraId="652669B5" w14:textId="77777777" w:rsidR="007E333A" w:rsidRPr="007E333A" w:rsidRDefault="007E333A" w:rsidP="00587076">
            <w:pPr>
              <w:pStyle w:val="Vnbnnidung0"/>
              <w:numPr>
                <w:ilvl w:val="0"/>
                <w:numId w:val="2"/>
              </w:numPr>
              <w:tabs>
                <w:tab w:val="left" w:pos="788"/>
                <w:tab w:val="left" w:pos="4948"/>
              </w:tabs>
              <w:spacing w:after="120" w:line="360" w:lineRule="auto"/>
              <w:ind w:firstLine="0"/>
              <w:jc w:val="both"/>
              <w:rPr>
                <w:rFonts w:ascii="Arial" w:hAnsi="Arial" w:cs="Arial"/>
                <w:color w:val="010000"/>
                <w:sz w:val="20"/>
              </w:rPr>
            </w:pPr>
            <w:r>
              <w:rPr>
                <w:rFonts w:ascii="Arial" w:hAnsi="Arial"/>
                <w:color w:val="010000"/>
                <w:sz w:val="20"/>
              </w:rPr>
              <w:t>Revenue: VND333,172 million.</w:t>
            </w:r>
          </w:p>
        </w:tc>
      </w:tr>
      <w:tr w:rsidR="007E333A" w14:paraId="09A2CA24" w14:textId="77777777" w:rsidTr="00D802DC">
        <w:tc>
          <w:tcPr>
            <w:tcW w:w="4508" w:type="dxa"/>
          </w:tcPr>
          <w:p w14:paraId="0A098852" w14:textId="77777777" w:rsidR="007E333A" w:rsidRDefault="007E333A" w:rsidP="00587076">
            <w:pPr>
              <w:pStyle w:val="Vnbnnidung0"/>
              <w:numPr>
                <w:ilvl w:val="0"/>
                <w:numId w:val="2"/>
              </w:numPr>
              <w:tabs>
                <w:tab w:val="left" w:pos="681"/>
              </w:tabs>
              <w:spacing w:after="120" w:line="360" w:lineRule="auto"/>
              <w:ind w:firstLine="0"/>
              <w:jc w:val="both"/>
              <w:rPr>
                <w:rFonts w:ascii="Arial" w:hAnsi="Arial" w:cs="Arial"/>
                <w:color w:val="010000"/>
                <w:sz w:val="20"/>
              </w:rPr>
            </w:pPr>
            <w:r>
              <w:rPr>
                <w:rFonts w:ascii="Arial" w:hAnsi="Arial"/>
                <w:color w:val="010000"/>
                <w:sz w:val="20"/>
              </w:rPr>
              <w:t>Profit after tax: VND6,663 million</w:t>
            </w:r>
          </w:p>
        </w:tc>
        <w:tc>
          <w:tcPr>
            <w:tcW w:w="4509" w:type="dxa"/>
          </w:tcPr>
          <w:p w14:paraId="2ABF5814" w14:textId="77777777" w:rsidR="007E333A" w:rsidRDefault="007E333A" w:rsidP="00587076">
            <w:pPr>
              <w:pStyle w:val="Vnbnnidung0"/>
              <w:numPr>
                <w:ilvl w:val="0"/>
                <w:numId w:val="2"/>
              </w:numPr>
              <w:tabs>
                <w:tab w:val="left" w:pos="681"/>
              </w:tabs>
              <w:spacing w:after="120" w:line="360" w:lineRule="auto"/>
              <w:ind w:firstLine="0"/>
              <w:jc w:val="both"/>
              <w:rPr>
                <w:rFonts w:ascii="Arial" w:hAnsi="Arial" w:cs="Arial"/>
                <w:color w:val="010000"/>
                <w:sz w:val="20"/>
              </w:rPr>
            </w:pPr>
            <w:r>
              <w:rPr>
                <w:rFonts w:ascii="Arial" w:hAnsi="Arial"/>
                <w:color w:val="010000"/>
                <w:sz w:val="20"/>
              </w:rPr>
              <w:t>Dividend rate: 0%</w:t>
            </w:r>
          </w:p>
        </w:tc>
      </w:tr>
    </w:tbl>
    <w:p w14:paraId="45317682" w14:textId="77777777" w:rsidR="00E75906" w:rsidRPr="00F9057F" w:rsidRDefault="007C7DCE" w:rsidP="00587076">
      <w:pPr>
        <w:pStyle w:val="Vnbnnidung0"/>
        <w:spacing w:after="120" w:line="360" w:lineRule="auto"/>
        <w:ind w:firstLine="0"/>
        <w:jc w:val="both"/>
        <w:rPr>
          <w:rFonts w:ascii="Arial" w:hAnsi="Arial" w:cs="Arial"/>
          <w:color w:val="010000"/>
          <w:sz w:val="20"/>
        </w:rPr>
      </w:pPr>
      <w:r>
        <w:rPr>
          <w:rFonts w:ascii="Arial" w:hAnsi="Arial"/>
          <w:color w:val="010000"/>
          <w:sz w:val="20"/>
        </w:rPr>
        <w:t>And solutions to implement the production and business plan for 2024</w:t>
      </w:r>
    </w:p>
    <w:p w14:paraId="159C323F" w14:textId="77777777" w:rsidR="00E75906" w:rsidRPr="00F9057F" w:rsidRDefault="007C7DCE" w:rsidP="00587076">
      <w:pPr>
        <w:pStyle w:val="Vnbnnidung0"/>
        <w:spacing w:after="120" w:line="360" w:lineRule="auto"/>
        <w:ind w:firstLine="0"/>
        <w:jc w:val="both"/>
        <w:rPr>
          <w:rFonts w:ascii="Arial" w:hAnsi="Arial" w:cs="Arial"/>
          <w:color w:val="010000"/>
          <w:sz w:val="20"/>
        </w:rPr>
      </w:pPr>
      <w:r>
        <w:rPr>
          <w:rFonts w:ascii="Arial" w:hAnsi="Arial"/>
          <w:color w:val="010000"/>
          <w:sz w:val="20"/>
        </w:rPr>
        <w:t>Article 2: Approve the Report on activities results of the Board of Directors in 2023 and the plan for 2024.</w:t>
      </w:r>
    </w:p>
    <w:p w14:paraId="24404646" w14:textId="77777777" w:rsidR="00E75906" w:rsidRPr="00F9057F" w:rsidRDefault="007C7DCE" w:rsidP="00587076">
      <w:pPr>
        <w:pStyle w:val="Vnbnnidung0"/>
        <w:spacing w:after="120" w:line="360" w:lineRule="auto"/>
        <w:ind w:firstLine="0"/>
        <w:jc w:val="both"/>
        <w:rPr>
          <w:rFonts w:ascii="Arial" w:hAnsi="Arial" w:cs="Arial"/>
          <w:color w:val="010000"/>
          <w:sz w:val="20"/>
        </w:rPr>
      </w:pPr>
      <w:r>
        <w:rPr>
          <w:rFonts w:ascii="Arial" w:hAnsi="Arial"/>
          <w:color w:val="010000"/>
          <w:sz w:val="20"/>
        </w:rPr>
        <w:t>Article 3: Approve the Financial Statements 2023 audited by Moore AISC Auditing and Informatics Services Company Limited with main targets as follows:</w:t>
      </w:r>
    </w:p>
    <w:p w14:paraId="50D4A56C" w14:textId="77777777" w:rsidR="007E333A" w:rsidRDefault="007C7DCE" w:rsidP="00587076">
      <w:pPr>
        <w:pStyle w:val="Vnbnnidung0"/>
        <w:numPr>
          <w:ilvl w:val="0"/>
          <w:numId w:val="2"/>
        </w:numPr>
        <w:tabs>
          <w:tab w:val="left" w:pos="788"/>
        </w:tabs>
        <w:spacing w:after="120" w:line="360" w:lineRule="auto"/>
        <w:ind w:firstLine="0"/>
        <w:jc w:val="both"/>
        <w:rPr>
          <w:rFonts w:ascii="Arial" w:hAnsi="Arial" w:cs="Arial"/>
          <w:color w:val="010000"/>
          <w:sz w:val="20"/>
        </w:rPr>
      </w:pPr>
      <w:r>
        <w:rPr>
          <w:rFonts w:ascii="Arial" w:hAnsi="Arial"/>
          <w:color w:val="010000"/>
          <w:sz w:val="20"/>
        </w:rPr>
        <w:t>Total assets: VND143,663,241,674.0</w:t>
      </w:r>
    </w:p>
    <w:p w14:paraId="08DB10B5" w14:textId="77777777" w:rsidR="00E75906" w:rsidRPr="007E333A" w:rsidRDefault="007C7DCE" w:rsidP="00587076">
      <w:pPr>
        <w:pStyle w:val="Vnbnnidung0"/>
        <w:numPr>
          <w:ilvl w:val="0"/>
          <w:numId w:val="2"/>
        </w:numPr>
        <w:tabs>
          <w:tab w:val="left" w:pos="788"/>
        </w:tabs>
        <w:spacing w:after="120" w:line="360" w:lineRule="auto"/>
        <w:ind w:firstLine="0"/>
        <w:jc w:val="both"/>
        <w:rPr>
          <w:rFonts w:ascii="Arial" w:hAnsi="Arial" w:cs="Arial"/>
          <w:color w:val="010000"/>
          <w:sz w:val="20"/>
        </w:rPr>
      </w:pPr>
      <w:r>
        <w:rPr>
          <w:rFonts w:ascii="Arial" w:hAnsi="Arial"/>
          <w:color w:val="010000"/>
          <w:sz w:val="20"/>
        </w:rPr>
        <w:t>Charter capital: VND55,010,240,000.0</w:t>
      </w:r>
    </w:p>
    <w:p w14:paraId="571C9584" w14:textId="77777777" w:rsidR="00E75906" w:rsidRPr="00F9057F" w:rsidRDefault="007C7DCE" w:rsidP="00587076">
      <w:pPr>
        <w:pStyle w:val="Vnbnnidung0"/>
        <w:numPr>
          <w:ilvl w:val="0"/>
          <w:numId w:val="2"/>
        </w:numPr>
        <w:tabs>
          <w:tab w:val="left" w:pos="788"/>
          <w:tab w:val="left" w:pos="3449"/>
        </w:tabs>
        <w:spacing w:after="120" w:line="360" w:lineRule="auto"/>
        <w:ind w:firstLine="0"/>
        <w:jc w:val="both"/>
        <w:rPr>
          <w:rFonts w:ascii="Arial" w:hAnsi="Arial" w:cs="Arial"/>
          <w:color w:val="010000"/>
          <w:sz w:val="20"/>
        </w:rPr>
      </w:pPr>
      <w:r>
        <w:rPr>
          <w:rFonts w:ascii="Arial" w:hAnsi="Arial"/>
          <w:color w:val="010000"/>
          <w:sz w:val="20"/>
        </w:rPr>
        <w:t>Profit before tax: VND1,486,235,369.0</w:t>
      </w:r>
    </w:p>
    <w:p w14:paraId="7EA0D7C5" w14:textId="77777777" w:rsidR="00E75906" w:rsidRPr="00F9057F" w:rsidRDefault="007C7DCE" w:rsidP="00587076">
      <w:pPr>
        <w:pStyle w:val="Vnbnnidung0"/>
        <w:numPr>
          <w:ilvl w:val="0"/>
          <w:numId w:val="2"/>
        </w:numPr>
        <w:tabs>
          <w:tab w:val="left" w:pos="788"/>
          <w:tab w:val="left" w:pos="3449"/>
        </w:tabs>
        <w:spacing w:after="120" w:line="360" w:lineRule="auto"/>
        <w:ind w:firstLine="0"/>
        <w:jc w:val="both"/>
        <w:rPr>
          <w:rFonts w:ascii="Arial" w:hAnsi="Arial" w:cs="Arial"/>
          <w:color w:val="010000"/>
          <w:sz w:val="20"/>
        </w:rPr>
      </w:pPr>
      <w:r>
        <w:rPr>
          <w:rFonts w:ascii="Arial" w:hAnsi="Arial"/>
          <w:color w:val="010000"/>
          <w:sz w:val="20"/>
        </w:rPr>
        <w:t>Profit after tax: VND1,486,235,369.0</w:t>
      </w:r>
    </w:p>
    <w:p w14:paraId="7B829334" w14:textId="77777777" w:rsidR="00E75906" w:rsidRPr="00F9057F" w:rsidRDefault="007C7DCE" w:rsidP="00587076">
      <w:pPr>
        <w:pStyle w:val="Vnbnnidung0"/>
        <w:spacing w:after="120" w:line="360" w:lineRule="auto"/>
        <w:ind w:firstLine="0"/>
        <w:jc w:val="both"/>
        <w:rPr>
          <w:rFonts w:ascii="Arial" w:hAnsi="Arial" w:cs="Arial"/>
          <w:color w:val="010000"/>
          <w:sz w:val="20"/>
        </w:rPr>
      </w:pPr>
      <w:r>
        <w:rPr>
          <w:rFonts w:ascii="Arial" w:hAnsi="Arial"/>
          <w:color w:val="010000"/>
          <w:sz w:val="20"/>
        </w:rPr>
        <w:t>Article 4: Approve the Report of the Supervisory Board in 2023.</w:t>
      </w:r>
    </w:p>
    <w:p w14:paraId="5B562ECB" w14:textId="4CFE7507" w:rsidR="00E75906" w:rsidRPr="00F9057F" w:rsidRDefault="007C7DCE" w:rsidP="00587076">
      <w:pPr>
        <w:pStyle w:val="Vnbnnidung0"/>
        <w:spacing w:after="120" w:line="360" w:lineRule="auto"/>
        <w:ind w:firstLine="0"/>
        <w:jc w:val="both"/>
        <w:rPr>
          <w:rFonts w:ascii="Arial" w:hAnsi="Arial" w:cs="Arial"/>
          <w:color w:val="010000"/>
          <w:sz w:val="20"/>
        </w:rPr>
      </w:pPr>
      <w:r>
        <w:rPr>
          <w:rFonts w:ascii="Arial" w:hAnsi="Arial"/>
          <w:color w:val="010000"/>
          <w:sz w:val="20"/>
        </w:rPr>
        <w:t>Article 5: Approve the report on remuneration payment for members of the Board of Directors, the Supervisory Board, and the Secretariat of the Company</w:t>
      </w:r>
      <w:r w:rsidR="00D802DC">
        <w:rPr>
          <w:rFonts w:ascii="Arial" w:hAnsi="Arial"/>
          <w:color w:val="010000"/>
          <w:sz w:val="20"/>
        </w:rPr>
        <w:t xml:space="preserve"> in 2023</w:t>
      </w:r>
      <w:r>
        <w:rPr>
          <w:rFonts w:ascii="Arial" w:hAnsi="Arial"/>
          <w:color w:val="010000"/>
          <w:sz w:val="20"/>
        </w:rPr>
        <w:t xml:space="preserve"> and decide on the remuneration payment for 2024 as follows:</w:t>
      </w:r>
    </w:p>
    <w:p w14:paraId="144E1A29" w14:textId="77777777" w:rsidR="00E75906" w:rsidRPr="00F9057F" w:rsidRDefault="007C7DCE" w:rsidP="00587076">
      <w:pPr>
        <w:pStyle w:val="Vnbnnidung0"/>
        <w:numPr>
          <w:ilvl w:val="0"/>
          <w:numId w:val="2"/>
        </w:numPr>
        <w:tabs>
          <w:tab w:val="left" w:pos="652"/>
        </w:tabs>
        <w:spacing w:after="120" w:line="360" w:lineRule="auto"/>
        <w:ind w:firstLine="0"/>
        <w:jc w:val="both"/>
        <w:rPr>
          <w:rFonts w:ascii="Arial" w:hAnsi="Arial" w:cs="Arial"/>
          <w:color w:val="010000"/>
          <w:sz w:val="20"/>
        </w:rPr>
      </w:pPr>
      <w:r>
        <w:rPr>
          <w:rFonts w:ascii="Arial" w:hAnsi="Arial"/>
          <w:color w:val="010000"/>
          <w:sz w:val="20"/>
        </w:rPr>
        <w:t>Total actual remuneration expenses in 2023: VND270 million.</w:t>
      </w:r>
    </w:p>
    <w:p w14:paraId="134E4667" w14:textId="77777777" w:rsidR="00E75906" w:rsidRPr="00F9057F" w:rsidRDefault="007C7DCE" w:rsidP="00587076">
      <w:pPr>
        <w:pStyle w:val="Vnbnnidung0"/>
        <w:numPr>
          <w:ilvl w:val="0"/>
          <w:numId w:val="2"/>
        </w:numPr>
        <w:tabs>
          <w:tab w:val="left" w:pos="652"/>
        </w:tabs>
        <w:spacing w:after="120" w:line="360" w:lineRule="auto"/>
        <w:ind w:firstLine="0"/>
        <w:jc w:val="both"/>
        <w:rPr>
          <w:rFonts w:ascii="Arial" w:hAnsi="Arial" w:cs="Arial"/>
          <w:color w:val="010000"/>
          <w:sz w:val="20"/>
        </w:rPr>
      </w:pPr>
      <w:r>
        <w:rPr>
          <w:rFonts w:ascii="Arial" w:hAnsi="Arial"/>
          <w:color w:val="010000"/>
          <w:sz w:val="20"/>
        </w:rPr>
        <w:t>Remuneration payment 2024 for the Board of Directors, the Supervisory Board, and the Secretariat of the Company, specifically:</w:t>
      </w:r>
    </w:p>
    <w:p w14:paraId="3CEF970A" w14:textId="77777777" w:rsidR="00E75906" w:rsidRPr="00F9057F" w:rsidRDefault="007C7DCE" w:rsidP="00587076">
      <w:pPr>
        <w:pStyle w:val="Vnbnnidung0"/>
        <w:numPr>
          <w:ilvl w:val="0"/>
          <w:numId w:val="3"/>
        </w:numPr>
        <w:tabs>
          <w:tab w:val="left" w:pos="4642"/>
        </w:tabs>
        <w:spacing w:after="120" w:line="360" w:lineRule="auto"/>
        <w:ind w:left="426" w:hanging="426"/>
        <w:jc w:val="both"/>
        <w:rPr>
          <w:rFonts w:ascii="Arial" w:hAnsi="Arial" w:cs="Arial"/>
          <w:color w:val="010000"/>
          <w:sz w:val="20"/>
        </w:rPr>
      </w:pPr>
      <w:r>
        <w:rPr>
          <w:rFonts w:ascii="Arial" w:hAnsi="Arial"/>
          <w:color w:val="010000"/>
          <w:sz w:val="20"/>
        </w:rPr>
        <w:t>The Chair of the Board of Directors: VND8.0 million/month.</w:t>
      </w:r>
    </w:p>
    <w:p w14:paraId="4E822842" w14:textId="77777777" w:rsidR="00E75906" w:rsidRPr="00F9057F" w:rsidRDefault="007C7DCE" w:rsidP="00587076">
      <w:pPr>
        <w:pStyle w:val="Vnbnnidung0"/>
        <w:numPr>
          <w:ilvl w:val="0"/>
          <w:numId w:val="3"/>
        </w:numPr>
        <w:spacing w:after="120" w:line="360" w:lineRule="auto"/>
        <w:ind w:left="426" w:hanging="426"/>
        <w:jc w:val="both"/>
        <w:rPr>
          <w:rFonts w:ascii="Arial" w:hAnsi="Arial" w:cs="Arial"/>
          <w:color w:val="010000"/>
          <w:sz w:val="20"/>
        </w:rPr>
      </w:pPr>
      <w:r>
        <w:rPr>
          <w:rFonts w:ascii="Arial" w:hAnsi="Arial"/>
          <w:color w:val="010000"/>
          <w:sz w:val="20"/>
        </w:rPr>
        <w:t>Members of the Board of Directors and the Chief of the Supervisory Board: VND2.0 million/person/month.</w:t>
      </w:r>
    </w:p>
    <w:p w14:paraId="724F4CB5" w14:textId="77777777" w:rsidR="00E75906" w:rsidRPr="00F9057F" w:rsidRDefault="007C7DCE" w:rsidP="00587076">
      <w:pPr>
        <w:pStyle w:val="Vnbnnidung0"/>
        <w:numPr>
          <w:ilvl w:val="0"/>
          <w:numId w:val="3"/>
        </w:numPr>
        <w:spacing w:after="120" w:line="360" w:lineRule="auto"/>
        <w:ind w:left="426" w:hanging="426"/>
        <w:jc w:val="both"/>
        <w:rPr>
          <w:rFonts w:ascii="Arial" w:hAnsi="Arial" w:cs="Arial"/>
          <w:color w:val="010000"/>
          <w:sz w:val="20"/>
        </w:rPr>
      </w:pPr>
      <w:r>
        <w:rPr>
          <w:rFonts w:ascii="Arial" w:hAnsi="Arial"/>
          <w:color w:val="010000"/>
          <w:sz w:val="20"/>
        </w:rPr>
        <w:t>Members of the Supervisory Board and the Secretariat of the Company: VND1.5 million/person/month.</w:t>
      </w:r>
    </w:p>
    <w:p w14:paraId="673EA8B3" w14:textId="77777777" w:rsidR="00E75906" w:rsidRPr="00F9057F" w:rsidRDefault="007C7DCE" w:rsidP="00587076">
      <w:pPr>
        <w:pStyle w:val="Vnbnnidung0"/>
        <w:spacing w:after="120" w:line="360" w:lineRule="auto"/>
        <w:ind w:firstLine="0"/>
        <w:jc w:val="both"/>
        <w:rPr>
          <w:rFonts w:ascii="Arial" w:hAnsi="Arial" w:cs="Arial"/>
          <w:color w:val="010000"/>
          <w:sz w:val="20"/>
        </w:rPr>
      </w:pPr>
      <w:r>
        <w:rPr>
          <w:rFonts w:ascii="Arial" w:hAnsi="Arial"/>
          <w:color w:val="010000"/>
          <w:sz w:val="20"/>
        </w:rPr>
        <w:lastRenderedPageBreak/>
        <w:t>Implementation time: From July 2024 the General Meeting of Shareholders decides otherwise.</w:t>
      </w:r>
    </w:p>
    <w:p w14:paraId="69DAB90F" w14:textId="77777777" w:rsidR="00E75906" w:rsidRPr="00F9057F" w:rsidRDefault="007C7DCE" w:rsidP="00587076">
      <w:pPr>
        <w:pStyle w:val="Vnbnnidung0"/>
        <w:tabs>
          <w:tab w:val="left" w:pos="9231"/>
        </w:tabs>
        <w:spacing w:after="120" w:line="360" w:lineRule="auto"/>
        <w:ind w:firstLine="0"/>
        <w:jc w:val="both"/>
        <w:rPr>
          <w:rFonts w:ascii="Arial" w:hAnsi="Arial" w:cs="Arial"/>
          <w:color w:val="010000"/>
          <w:sz w:val="20"/>
        </w:rPr>
      </w:pPr>
      <w:r>
        <w:rPr>
          <w:rFonts w:ascii="Arial" w:hAnsi="Arial"/>
          <w:color w:val="010000"/>
          <w:sz w:val="20"/>
        </w:rPr>
        <w:t>Article 6: Approve the Proposal of the Supervisory Board: Approve on authorizing the Board of Directors to select 01 of the 02 following audit companies to audit the Financial Statements 2024 of Steel Structure Manufacture JSC:</w:t>
      </w:r>
    </w:p>
    <w:p w14:paraId="06FA7315" w14:textId="77777777" w:rsidR="00E75906" w:rsidRPr="00F9057F" w:rsidRDefault="007C7DCE" w:rsidP="00587076">
      <w:pPr>
        <w:pStyle w:val="Vnbnnidung0"/>
        <w:numPr>
          <w:ilvl w:val="0"/>
          <w:numId w:val="3"/>
        </w:numPr>
        <w:spacing w:after="120" w:line="360" w:lineRule="auto"/>
        <w:ind w:left="426" w:hanging="426"/>
        <w:jc w:val="both"/>
        <w:rPr>
          <w:rFonts w:ascii="Arial" w:hAnsi="Arial" w:cs="Arial"/>
          <w:color w:val="010000"/>
          <w:sz w:val="20"/>
        </w:rPr>
      </w:pPr>
      <w:r>
        <w:rPr>
          <w:rFonts w:ascii="Arial" w:hAnsi="Arial"/>
          <w:color w:val="010000"/>
          <w:sz w:val="20"/>
        </w:rPr>
        <w:t>Moore AISC Auditing and Informatics Services Company Limited</w:t>
      </w:r>
    </w:p>
    <w:p w14:paraId="511D9F0E" w14:textId="77777777" w:rsidR="00E75906" w:rsidRPr="00F9057F" w:rsidRDefault="007C7DCE" w:rsidP="00587076">
      <w:pPr>
        <w:pStyle w:val="Vnbnnidung0"/>
        <w:numPr>
          <w:ilvl w:val="0"/>
          <w:numId w:val="3"/>
        </w:numPr>
        <w:spacing w:after="120" w:line="360" w:lineRule="auto"/>
        <w:ind w:left="426" w:hanging="426"/>
        <w:jc w:val="both"/>
        <w:rPr>
          <w:rFonts w:ascii="Arial" w:hAnsi="Arial" w:cs="Arial"/>
          <w:color w:val="010000"/>
          <w:sz w:val="20"/>
        </w:rPr>
      </w:pPr>
      <w:r>
        <w:rPr>
          <w:rFonts w:ascii="Arial" w:hAnsi="Arial"/>
          <w:color w:val="010000"/>
          <w:sz w:val="20"/>
        </w:rPr>
        <w:t>A&amp;C Auditing and Consulting Company Limited</w:t>
      </w:r>
    </w:p>
    <w:p w14:paraId="786BBF4A" w14:textId="77777777" w:rsidR="00E75906" w:rsidRPr="00F9057F" w:rsidRDefault="007C7DCE" w:rsidP="00587076">
      <w:pPr>
        <w:pStyle w:val="Vnbnnidung0"/>
        <w:tabs>
          <w:tab w:val="left" w:pos="9231"/>
        </w:tabs>
        <w:spacing w:after="120" w:line="360" w:lineRule="auto"/>
        <w:ind w:firstLine="0"/>
        <w:jc w:val="both"/>
        <w:rPr>
          <w:rFonts w:ascii="Arial" w:hAnsi="Arial" w:cs="Arial"/>
          <w:color w:val="010000"/>
          <w:sz w:val="20"/>
        </w:rPr>
      </w:pPr>
      <w:r>
        <w:rPr>
          <w:rFonts w:ascii="Arial" w:hAnsi="Arial"/>
          <w:color w:val="010000"/>
          <w:sz w:val="20"/>
        </w:rPr>
        <w:t xml:space="preserve">Article 7: Terms of enforcement: </w:t>
      </w:r>
    </w:p>
    <w:p w14:paraId="5896669A" w14:textId="77777777" w:rsidR="00E75906" w:rsidRPr="00F9057F" w:rsidRDefault="007C7DCE" w:rsidP="00587076">
      <w:pPr>
        <w:pStyle w:val="Vnbnnidung0"/>
        <w:spacing w:after="120" w:line="360" w:lineRule="auto"/>
        <w:ind w:firstLine="0"/>
        <w:jc w:val="both"/>
        <w:rPr>
          <w:rFonts w:ascii="Arial" w:hAnsi="Arial" w:cs="Arial"/>
          <w:color w:val="010000"/>
          <w:sz w:val="20"/>
        </w:rPr>
      </w:pPr>
      <w:r>
        <w:rPr>
          <w:rFonts w:ascii="Arial" w:hAnsi="Arial"/>
          <w:color w:val="010000"/>
          <w:sz w:val="20"/>
        </w:rPr>
        <w:t>This General Mandate was approved in full text at the Annual General Meeting of Shareholders 2024 and takes effect from the date of its approval.</w:t>
      </w:r>
    </w:p>
    <w:p w14:paraId="1CEB115E" w14:textId="77777777" w:rsidR="00E75906" w:rsidRPr="00F9057F" w:rsidRDefault="007C7DCE" w:rsidP="00587076">
      <w:pPr>
        <w:pStyle w:val="Vnbnnidung0"/>
        <w:spacing w:after="120" w:line="360" w:lineRule="auto"/>
        <w:ind w:firstLine="0"/>
        <w:jc w:val="both"/>
        <w:rPr>
          <w:rFonts w:ascii="Arial" w:hAnsi="Arial" w:cs="Arial"/>
          <w:color w:val="010000"/>
          <w:sz w:val="20"/>
        </w:rPr>
      </w:pPr>
      <w:r>
        <w:rPr>
          <w:rFonts w:ascii="Arial" w:hAnsi="Arial"/>
          <w:color w:val="010000"/>
          <w:sz w:val="20"/>
        </w:rPr>
        <w:t>Members of the Board of Directors, the Supervisory Board, the Executive Board, and all shareholders of Steel Structure Manufacture JSC are responsible for implementing this General Mandate and organizing the implementation according to their authorities and functions in accordance with the provisions of law and the Charter on organization and operation of Steel Structure Manufacture JSC.</w:t>
      </w:r>
    </w:p>
    <w:sectPr w:rsidR="00E75906" w:rsidRPr="00F9057F" w:rsidSect="00F9057F">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149DF" w14:textId="77777777" w:rsidR="002A0DBD" w:rsidRDefault="002A0DBD">
      <w:r>
        <w:separator/>
      </w:r>
    </w:p>
  </w:endnote>
  <w:endnote w:type="continuationSeparator" w:id="0">
    <w:p w14:paraId="6A92FD36" w14:textId="77777777" w:rsidR="002A0DBD" w:rsidRDefault="002A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EDF8" w14:textId="77777777" w:rsidR="002A0DBD" w:rsidRDefault="002A0DBD"/>
  </w:footnote>
  <w:footnote w:type="continuationSeparator" w:id="0">
    <w:p w14:paraId="49BCF3BE" w14:textId="77777777" w:rsidR="002A0DBD" w:rsidRDefault="002A0DB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35B59"/>
    <w:multiLevelType w:val="multilevel"/>
    <w:tmpl w:val="49C0DB9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3E01B0"/>
    <w:multiLevelType w:val="multilevel"/>
    <w:tmpl w:val="9C46A9C2"/>
    <w:lvl w:ilvl="0">
      <w:start w:val="1"/>
      <w:numFmt w:val="bullet"/>
      <w:lvlText w:val="*"/>
      <w:lvlJc w:val="left"/>
      <w:rPr>
        <w:rFonts w:ascii="Arial" w:eastAsia="Times New Roman" w:hAnsi="Arial" w:cs="Arial"/>
        <w:b w:val="0"/>
        <w:bCs/>
        <w:i w:val="0"/>
        <w:iCs/>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8B30F0"/>
    <w:multiLevelType w:val="hybridMultilevel"/>
    <w:tmpl w:val="2C7AC992"/>
    <w:lvl w:ilvl="0" w:tplc="89CA6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06"/>
    <w:rsid w:val="002A0DBD"/>
    <w:rsid w:val="00587076"/>
    <w:rsid w:val="007C7DCE"/>
    <w:rsid w:val="007E333A"/>
    <w:rsid w:val="00D802DC"/>
    <w:rsid w:val="00E75906"/>
    <w:rsid w:val="00F90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A9EB"/>
  <w15:docId w15:val="{BBF719EE-1029-4B92-8E8C-8CF805B2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iCs/>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rPr>
  </w:style>
  <w:style w:type="paragraph" w:customStyle="1" w:styleId="Mclc0">
    <w:name w:val="Mục lục"/>
    <w:basedOn w:val="Normal"/>
    <w:link w:val="Mclc"/>
    <w:pPr>
      <w:jc w:val="right"/>
    </w:pPr>
    <w:rPr>
      <w:rFonts w:ascii="Times New Roman" w:eastAsia="Times New Roman" w:hAnsi="Times New Roman" w:cs="Times New Roman"/>
      <w:i/>
      <w:iCs/>
    </w:rPr>
  </w:style>
  <w:style w:type="paragraph" w:customStyle="1" w:styleId="Vnbnnidung20">
    <w:name w:val="Văn bản nội dung (2)"/>
    <w:basedOn w:val="Normal"/>
    <w:link w:val="Vnbnnidung2"/>
    <w:pPr>
      <w:spacing w:line="209" w:lineRule="auto"/>
      <w:ind w:firstLine="660"/>
    </w:pPr>
    <w:rPr>
      <w:rFonts w:ascii="Times New Roman" w:eastAsia="Times New Roman" w:hAnsi="Times New Roman" w:cs="Times New Roman"/>
      <w:sz w:val="19"/>
      <w:szCs w:val="19"/>
    </w:rPr>
  </w:style>
  <w:style w:type="table" w:styleId="TableGrid">
    <w:name w:val="Table Grid"/>
    <w:basedOn w:val="TableNormal"/>
    <w:uiPriority w:val="39"/>
    <w:rsid w:val="007E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2024-07-01T04:31:00Z</dcterms:created>
  <dcterms:modified xsi:type="dcterms:W3CDTF">2024-07-03T11:15:00Z</dcterms:modified>
</cp:coreProperties>
</file>