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7120" w:rsidRDefault="00BF762D" w:rsidP="00BF76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THM: Report on the share issuance for dividend payment</w:t>
      </w:r>
    </w:p>
    <w:p w14:paraId="00000002" w14:textId="77777777" w:rsidR="00087120" w:rsidRDefault="00BF762D" w:rsidP="00BF762D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July 1, 2</w:t>
      </w:r>
      <w:bookmarkStart w:id="0" w:name="_GoBack"/>
      <w:bookmarkEnd w:id="0"/>
      <w:r>
        <w:rPr>
          <w:rFonts w:ascii="Arial" w:hAnsi="Arial"/>
          <w:sz w:val="20"/>
        </w:rPr>
        <w:t xml:space="preserve">024, Tu </w:t>
      </w:r>
      <w:proofErr w:type="spellStart"/>
      <w:r>
        <w:rPr>
          <w:rFonts w:ascii="Arial" w:hAnsi="Arial"/>
          <w:sz w:val="20"/>
        </w:rPr>
        <w:t>Hai</w:t>
      </w:r>
      <w:proofErr w:type="spellEnd"/>
      <w:r>
        <w:rPr>
          <w:rFonts w:ascii="Arial" w:hAnsi="Arial"/>
          <w:sz w:val="20"/>
        </w:rPr>
        <w:t xml:space="preserve"> Ha Nam Joint Stock Company announced Report No. 07/2024/BC on the share issuance for dividend payment (replacing for issuance Report No. 05/2024/BC dated May 17, 2024 and issuance report No. 06/2024/BC dated June 26, 2024) as follow</w:t>
      </w:r>
      <w:r>
        <w:rPr>
          <w:rFonts w:ascii="Arial" w:hAnsi="Arial"/>
          <w:sz w:val="20"/>
        </w:rPr>
        <w:t>s:</w:t>
      </w:r>
    </w:p>
    <w:p w14:paraId="00000003" w14:textId="77777777" w:rsidR="00087120" w:rsidRDefault="00BF762D" w:rsidP="00BF762D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of the Issuer’s shares:</w:t>
      </w:r>
    </w:p>
    <w:p w14:paraId="00000004" w14:textId="77777777" w:rsidR="00087120" w:rsidRDefault="00BF762D" w:rsidP="00BF76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Common shares</w:t>
      </w:r>
    </w:p>
    <w:p w14:paraId="00000005" w14:textId="77777777" w:rsidR="00087120" w:rsidRDefault="00BF762D" w:rsidP="00BF76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Total number of issued shares: 11,048,000 shares.</w:t>
      </w:r>
    </w:p>
    <w:p w14:paraId="00000006" w14:textId="77777777" w:rsidR="00087120" w:rsidRDefault="00BF762D" w:rsidP="00BF76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Total number of outstanding shares: 11,048,000 shares.</w:t>
      </w:r>
    </w:p>
    <w:p w14:paraId="00000007" w14:textId="77777777" w:rsidR="00087120" w:rsidRDefault="00BF762D" w:rsidP="00BF76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Total value of outstanding shares (at par value or market price at the report time) (if any):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VND110</w:t>
      </w:r>
      <w:proofErr w:type="gramStart"/>
      <w:r>
        <w:rPr>
          <w:rFonts w:ascii="Arial" w:hAnsi="Arial"/>
          <w:sz w:val="20"/>
        </w:rPr>
        <w:t>,480,000,000</w:t>
      </w:r>
      <w:proofErr w:type="gramEnd"/>
      <w:r>
        <w:rPr>
          <w:rFonts w:ascii="Arial" w:hAnsi="Arial"/>
          <w:sz w:val="20"/>
        </w:rPr>
        <w:t>.</w:t>
      </w:r>
    </w:p>
    <w:p w14:paraId="00000008" w14:textId="77777777" w:rsidR="00087120" w:rsidRDefault="00BF762D" w:rsidP="00BF76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Characteristics (specify characteristics or attached rights):</w:t>
      </w:r>
      <w:r>
        <w:rPr>
          <w:rFonts w:ascii="Arial" w:hAnsi="Arial"/>
          <w:sz w:val="20"/>
        </w:rPr>
        <w:t xml:space="preserve"> Common shares</w:t>
      </w:r>
    </w:p>
    <w:p w14:paraId="00000009" w14:textId="77777777" w:rsidR="00087120" w:rsidRDefault="00BF762D" w:rsidP="00BF76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Total treasury shares: 0 shares.</w:t>
      </w:r>
    </w:p>
    <w:p w14:paraId="0000000A" w14:textId="77777777" w:rsidR="00087120" w:rsidRDefault="00BF762D" w:rsidP="00BF76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most recent round of share repurchase: None</w:t>
      </w:r>
    </w:p>
    <w:p w14:paraId="0000000B" w14:textId="77777777" w:rsidR="00087120" w:rsidRDefault="00BF762D" w:rsidP="00BF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Preferred shares: None</w:t>
      </w:r>
    </w:p>
    <w:p w14:paraId="0000000C" w14:textId="77777777" w:rsidR="00087120" w:rsidRDefault="00BF762D" w:rsidP="00BF76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Purpose of share issuance:</w:t>
      </w:r>
    </w:p>
    <w:p w14:paraId="0000000D" w14:textId="77777777" w:rsidR="00087120" w:rsidRDefault="00BF762D" w:rsidP="00BF76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Issuance plan</w:t>
      </w:r>
    </w:p>
    <w:p w14:paraId="0000000E" w14:textId="77777777" w:rsidR="00087120" w:rsidRDefault="00BF762D" w:rsidP="00BF7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name: </w:t>
      </w:r>
      <w:r>
        <w:rPr>
          <w:rFonts w:ascii="Arial" w:hAnsi="Arial"/>
          <w:sz w:val="20"/>
        </w:rPr>
        <w:t xml:space="preserve">Shares of Tu </w:t>
      </w:r>
      <w:proofErr w:type="spellStart"/>
      <w:r>
        <w:rPr>
          <w:rFonts w:ascii="Arial" w:hAnsi="Arial"/>
          <w:sz w:val="20"/>
        </w:rPr>
        <w:t>Hai</w:t>
      </w:r>
      <w:proofErr w:type="spellEnd"/>
      <w:r>
        <w:rPr>
          <w:rFonts w:ascii="Arial" w:hAnsi="Arial"/>
          <w:sz w:val="20"/>
        </w:rPr>
        <w:t xml:space="preserve"> Ha Nam Joint Stock Company</w:t>
      </w:r>
    </w:p>
    <w:p w14:paraId="0000000F" w14:textId="77777777" w:rsidR="00087120" w:rsidRDefault="00BF762D" w:rsidP="00BF7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Share type: Common shares</w:t>
      </w:r>
    </w:p>
    <w:p w14:paraId="00000010" w14:textId="77777777" w:rsidR="00087120" w:rsidRDefault="00BF762D" w:rsidP="00BF7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Par value of share: VND10</w:t>
      </w:r>
      <w:proofErr w:type="gramStart"/>
      <w:r>
        <w:rPr>
          <w:rFonts w:ascii="Arial" w:hAnsi="Arial"/>
          <w:sz w:val="20"/>
        </w:rPr>
        <w:t>,000</w:t>
      </w:r>
      <w:proofErr w:type="gramEnd"/>
      <w:r>
        <w:rPr>
          <w:rFonts w:ascii="Arial" w:hAnsi="Arial"/>
          <w:sz w:val="20"/>
        </w:rPr>
        <w:t>/share.</w:t>
      </w:r>
    </w:p>
    <w:p w14:paraId="00000011" w14:textId="77777777" w:rsidR="00087120" w:rsidRDefault="00BF762D" w:rsidP="00BF7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Number of shares expected to be issued: 1,104,800 shares.</w:t>
      </w:r>
    </w:p>
    <w:p w14:paraId="00000012" w14:textId="77777777" w:rsidR="00087120" w:rsidRDefault="00BF762D" w:rsidP="00BF7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Total issuance value at par value: VND11</w:t>
      </w:r>
      <w:proofErr w:type="gramStart"/>
      <w:r>
        <w:rPr>
          <w:rFonts w:ascii="Arial" w:hAnsi="Arial"/>
          <w:sz w:val="20"/>
        </w:rPr>
        <w:t>,048,000,000</w:t>
      </w:r>
      <w:proofErr w:type="gramEnd"/>
      <w:r>
        <w:rPr>
          <w:rFonts w:ascii="Arial" w:hAnsi="Arial"/>
          <w:sz w:val="20"/>
        </w:rPr>
        <w:t>.</w:t>
      </w:r>
    </w:p>
    <w:p w14:paraId="00000013" w14:textId="77777777" w:rsidR="00087120" w:rsidRDefault="00BF762D" w:rsidP="00BF7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hAnsi="Arial"/>
          <w:sz w:val="20"/>
        </w:rPr>
        <w:t>Issuance rate (number of shares expected to be issued/number of outstanding shares): 10%</w:t>
      </w:r>
    </w:p>
    <w:p w14:paraId="00000014" w14:textId="77777777" w:rsidR="00087120" w:rsidRDefault="00BF762D" w:rsidP="00BF7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Rights exercise rate: 100%</w:t>
      </w:r>
    </w:p>
    <w:p w14:paraId="00000015" w14:textId="77777777" w:rsidR="00087120" w:rsidRDefault="00BF762D" w:rsidP="00BF76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Capital source for the issuance: Undistributed profit after tax as of December 31, 2023</w:t>
      </w:r>
    </w:p>
    <w:p w14:paraId="00000016" w14:textId="77777777" w:rsidR="00087120" w:rsidRDefault="00BF762D" w:rsidP="00BF76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Expected issuance date: Q3/2024</w:t>
      </w:r>
    </w:p>
    <w:p w14:paraId="00000017" w14:textId="77777777" w:rsidR="00087120" w:rsidRDefault="00BF762D" w:rsidP="00BF76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Plan on handling fractional shares: </w:t>
      </w:r>
      <w:r>
        <w:rPr>
          <w:rFonts w:ascii="Arial" w:hAnsi="Arial"/>
          <w:sz w:val="20"/>
        </w:rPr>
        <w:t>When calculating the number of shares that shareholders are entitled to according to the issuance plan, if the result is a decimal number, it will be rounded according to the principle of removing the fractional part (fo</w:t>
      </w:r>
      <w:r>
        <w:rPr>
          <w:rFonts w:ascii="Arial" w:hAnsi="Arial"/>
          <w:sz w:val="20"/>
        </w:rPr>
        <w:t>r example, the number of shares of the shareholder is entitled to when paying dividends is 28.5 shares, it will be rounded to 28 shares).</w:t>
      </w:r>
    </w:p>
    <w:sectPr w:rsidR="0008712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212"/>
    <w:multiLevelType w:val="multilevel"/>
    <w:tmpl w:val="AD0AE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D7D"/>
    <w:multiLevelType w:val="multilevel"/>
    <w:tmpl w:val="5C1058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16071E"/>
    <w:multiLevelType w:val="multilevel"/>
    <w:tmpl w:val="6F34894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34B"/>
    <w:multiLevelType w:val="multilevel"/>
    <w:tmpl w:val="3D44D64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8051FDA"/>
    <w:multiLevelType w:val="multilevel"/>
    <w:tmpl w:val="500A1F3A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8B7780"/>
    <w:multiLevelType w:val="multilevel"/>
    <w:tmpl w:val="6D56EE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7120"/>
    <w:rsid w:val="00087120"/>
    <w:rsid w:val="00B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30F15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62" w:lineRule="auto"/>
      <w:jc w:val="right"/>
    </w:pPr>
    <w:rPr>
      <w:rFonts w:ascii="Arial" w:eastAsia="Arial" w:hAnsi="Arial" w:cs="Arial"/>
      <w:color w:val="530F15"/>
      <w:sz w:val="20"/>
      <w:szCs w:val="20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line="271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ind w:left="3970"/>
      <w:outlineLvl w:val="0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30F15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62" w:lineRule="auto"/>
      <w:jc w:val="right"/>
    </w:pPr>
    <w:rPr>
      <w:rFonts w:ascii="Arial" w:eastAsia="Arial" w:hAnsi="Arial" w:cs="Arial"/>
      <w:color w:val="530F15"/>
      <w:sz w:val="20"/>
      <w:szCs w:val="20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line="271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ind w:left="3970"/>
      <w:outlineLvl w:val="0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CXYriu2m9Xahr35M5X8ERQZmjw==">CgMxLjA4AHIhMVVrSFRaam5xZFNyRWJrRE9GNG94TlVkMFM2YnFvWG40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2</cp:revision>
  <dcterms:created xsi:type="dcterms:W3CDTF">2024-07-03T05:31:00Z</dcterms:created>
  <dcterms:modified xsi:type="dcterms:W3CDTF">2024-07-04T09:22:00Z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1038ab35f4a586c387b4787a22f707ba908638d68d597b3cade4ea9404a2baff</vt:lpwstr>
  </property>
</Properties>
</file>