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21467" w:rsidRDefault="001B258B" w:rsidP="003C01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bCs/>
          <w:sz w:val="20"/>
        </w:rPr>
        <w:t>VC6:</w:t>
      </w:r>
      <w:r>
        <w:rPr>
          <w:rFonts w:ascii="Arial" w:hAnsi="Arial"/>
          <w:b/>
          <w:sz w:val="20"/>
        </w:rPr>
        <w:t xml:space="preserve"> Board Resolution</w:t>
      </w:r>
    </w:p>
    <w:p w14:paraId="00000002" w14:textId="646A681D" w:rsidR="00F21467" w:rsidRDefault="001B258B" w:rsidP="003C01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July 01, 2024, </w:t>
      </w:r>
      <w:proofErr w:type="spellStart"/>
      <w:r>
        <w:rPr>
          <w:rFonts w:ascii="Arial" w:hAnsi="Arial"/>
          <w:sz w:val="20"/>
        </w:rPr>
        <w:t>Visicons</w:t>
      </w:r>
      <w:proofErr w:type="spellEnd"/>
      <w:r>
        <w:rPr>
          <w:rFonts w:ascii="Arial" w:hAnsi="Arial"/>
          <w:sz w:val="20"/>
        </w:rPr>
        <w:t xml:space="preserve"> Construction </w:t>
      </w:r>
      <w:proofErr w:type="gramStart"/>
      <w:r>
        <w:rPr>
          <w:rFonts w:ascii="Arial" w:hAnsi="Arial"/>
          <w:sz w:val="20"/>
        </w:rPr>
        <w:t>And</w:t>
      </w:r>
      <w:proofErr w:type="gramEnd"/>
      <w:r>
        <w:rPr>
          <w:rFonts w:ascii="Arial" w:hAnsi="Arial"/>
          <w:sz w:val="20"/>
        </w:rPr>
        <w:t xml:space="preserve"> Investment Joint Stock Company announced Resolution No. 20 NQ/VC6 - HDQT on the plan to record the list of shareholders to pay </w:t>
      </w:r>
      <w:r w:rsidR="003C01C6">
        <w:rPr>
          <w:rFonts w:ascii="Arial" w:hAnsi="Arial"/>
          <w:sz w:val="20"/>
        </w:rPr>
        <w:t>dividend</w:t>
      </w:r>
      <w:r>
        <w:rPr>
          <w:rFonts w:ascii="Arial" w:hAnsi="Arial"/>
          <w:sz w:val="20"/>
        </w:rPr>
        <w:t xml:space="preserve"> 2023 in cash and by shares as follows:</w:t>
      </w:r>
    </w:p>
    <w:p w14:paraId="00000003" w14:textId="7CE8FD3B" w:rsidR="00F21467" w:rsidRDefault="001B258B" w:rsidP="003C01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Article 1. Approve the plan to record the list of shareholders to pay cash </w:t>
      </w:r>
      <w:r w:rsidR="003C01C6">
        <w:rPr>
          <w:rFonts w:ascii="Arial" w:hAnsi="Arial"/>
          <w:sz w:val="20"/>
        </w:rPr>
        <w:t>dividend</w:t>
      </w:r>
      <w:r>
        <w:rPr>
          <w:rFonts w:ascii="Arial" w:hAnsi="Arial"/>
          <w:sz w:val="20"/>
        </w:rPr>
        <w:t xml:space="preserve"> in 2023 to existing shareholders of </w:t>
      </w:r>
      <w:proofErr w:type="spellStart"/>
      <w:r>
        <w:rPr>
          <w:rFonts w:ascii="Arial" w:hAnsi="Arial"/>
          <w:sz w:val="20"/>
        </w:rPr>
        <w:t>Visicons</w:t>
      </w:r>
      <w:proofErr w:type="spellEnd"/>
      <w:r>
        <w:rPr>
          <w:rFonts w:ascii="Arial" w:hAnsi="Arial"/>
          <w:sz w:val="20"/>
        </w:rPr>
        <w:t xml:space="preserve"> Construction </w:t>
      </w:r>
      <w:proofErr w:type="gramStart"/>
      <w:r>
        <w:rPr>
          <w:rFonts w:ascii="Arial" w:hAnsi="Arial"/>
          <w:sz w:val="20"/>
        </w:rPr>
        <w:t>And</w:t>
      </w:r>
      <w:proofErr w:type="gramEnd"/>
      <w:r>
        <w:rPr>
          <w:rFonts w:ascii="Arial" w:hAnsi="Arial"/>
          <w:sz w:val="20"/>
        </w:rPr>
        <w:t xml:space="preserve"> Investment Joint Stock Company, specifically as follows:</w:t>
      </w:r>
    </w:p>
    <w:p w14:paraId="00000004" w14:textId="77777777" w:rsidR="00F21467" w:rsidRDefault="001B258B" w:rsidP="003C01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Record date: July 19, 2024</w:t>
      </w:r>
    </w:p>
    <w:p w14:paraId="00000005" w14:textId="0A2BAE27" w:rsidR="00F21467" w:rsidRDefault="001B258B" w:rsidP="003C01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Reason and purpose: Payment of </w:t>
      </w:r>
      <w:r w:rsidR="003C01C6">
        <w:rPr>
          <w:rFonts w:ascii="Arial" w:hAnsi="Arial"/>
          <w:sz w:val="20"/>
        </w:rPr>
        <w:t>dividend</w:t>
      </w:r>
      <w:r>
        <w:rPr>
          <w:rFonts w:ascii="Arial" w:hAnsi="Arial"/>
          <w:sz w:val="20"/>
        </w:rPr>
        <w:t xml:space="preserve"> in cash in 2023 with the rate of 5%</w:t>
      </w:r>
    </w:p>
    <w:p w14:paraId="00000006" w14:textId="77777777" w:rsidR="00F21467" w:rsidRDefault="001B258B" w:rsidP="003C01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Specific contents: Dividend payment 2023 in cash</w:t>
      </w:r>
    </w:p>
    <w:p w14:paraId="00000007" w14:textId="68B290D8" w:rsidR="00F21467" w:rsidRDefault="003C01C6" w:rsidP="003C01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Exercise rate: 5%</w:t>
      </w:r>
      <w:r w:rsidR="001B258B">
        <w:rPr>
          <w:rFonts w:ascii="Arial" w:hAnsi="Arial"/>
          <w:sz w:val="20"/>
        </w:rPr>
        <w:t xml:space="preserve"> (shareholders receive VND500.0 for every </w:t>
      </w:r>
      <w:r>
        <w:rPr>
          <w:rFonts w:ascii="Arial" w:hAnsi="Arial"/>
          <w:sz w:val="20"/>
        </w:rPr>
        <w:t>01 share owned</w:t>
      </w:r>
      <w:r w:rsidR="001B258B">
        <w:rPr>
          <w:rFonts w:ascii="Arial" w:hAnsi="Arial"/>
          <w:sz w:val="20"/>
        </w:rPr>
        <w:t>)</w:t>
      </w:r>
    </w:p>
    <w:p w14:paraId="00000008" w14:textId="77777777" w:rsidR="00F21467" w:rsidRDefault="001B258B" w:rsidP="003C01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Date of payment: August 05, 2024</w:t>
      </w:r>
    </w:p>
    <w:p w14:paraId="00000009" w14:textId="77777777" w:rsidR="00F21467" w:rsidRDefault="001B258B" w:rsidP="003C01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Implementation venue:</w:t>
      </w:r>
    </w:p>
    <w:p w14:paraId="0000000A" w14:textId="40737B09" w:rsidR="00F21467" w:rsidRDefault="001B258B" w:rsidP="003C01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For deposited securities: Owners implement the procedures to receive </w:t>
      </w:r>
      <w:r w:rsidR="003C01C6">
        <w:rPr>
          <w:rFonts w:ascii="Arial" w:hAnsi="Arial"/>
          <w:sz w:val="20"/>
        </w:rPr>
        <w:t>dividend</w:t>
      </w:r>
      <w:r>
        <w:rPr>
          <w:rFonts w:ascii="Arial" w:hAnsi="Arial"/>
          <w:sz w:val="20"/>
        </w:rPr>
        <w:t xml:space="preserve"> at Depository Members where depository accounts are opened.</w:t>
      </w:r>
    </w:p>
    <w:p w14:paraId="0000000B" w14:textId="2A99D11D" w:rsidR="00F21467" w:rsidRDefault="001B258B" w:rsidP="003C01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For undeposited securities: Owners carry out procedures to receive </w:t>
      </w:r>
      <w:r w:rsidR="003C01C6">
        <w:rPr>
          <w:rFonts w:ascii="Arial" w:hAnsi="Arial"/>
          <w:sz w:val="20"/>
        </w:rPr>
        <w:t>dividend</w:t>
      </w:r>
      <w:r>
        <w:rPr>
          <w:rFonts w:ascii="Arial" w:hAnsi="Arial"/>
          <w:sz w:val="20"/>
        </w:rPr>
        <w:t xml:space="preserve"> at the Finance and Accounting Department of </w:t>
      </w:r>
      <w:proofErr w:type="spellStart"/>
      <w:r>
        <w:rPr>
          <w:rFonts w:ascii="Arial" w:hAnsi="Arial"/>
          <w:sz w:val="20"/>
        </w:rPr>
        <w:t>Visicons</w:t>
      </w:r>
      <w:proofErr w:type="spellEnd"/>
      <w:r>
        <w:rPr>
          <w:rFonts w:ascii="Arial" w:hAnsi="Arial"/>
          <w:sz w:val="20"/>
        </w:rPr>
        <w:t xml:space="preserve"> Construction </w:t>
      </w:r>
      <w:proofErr w:type="gramStart"/>
      <w:r>
        <w:rPr>
          <w:rFonts w:ascii="Arial" w:hAnsi="Arial"/>
          <w:sz w:val="20"/>
        </w:rPr>
        <w:t>And</w:t>
      </w:r>
      <w:proofErr w:type="gramEnd"/>
      <w:r>
        <w:rPr>
          <w:rFonts w:ascii="Arial" w:hAnsi="Arial"/>
          <w:sz w:val="20"/>
        </w:rPr>
        <w:t xml:space="preserve"> Investment Joint Stock Company - 5th Floor, 29T2 Building, Hoang Dao Thuy Street, </w:t>
      </w:r>
      <w:proofErr w:type="spellStart"/>
      <w:r>
        <w:rPr>
          <w:rFonts w:ascii="Arial" w:hAnsi="Arial"/>
          <w:sz w:val="20"/>
        </w:rPr>
        <w:t>Trung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Hoa</w:t>
      </w:r>
      <w:proofErr w:type="spellEnd"/>
      <w:r>
        <w:rPr>
          <w:rFonts w:ascii="Arial" w:hAnsi="Arial"/>
          <w:sz w:val="20"/>
        </w:rPr>
        <w:t xml:space="preserve"> Ward, </w:t>
      </w:r>
      <w:proofErr w:type="spellStart"/>
      <w:r>
        <w:rPr>
          <w:rFonts w:ascii="Arial" w:hAnsi="Arial"/>
          <w:sz w:val="20"/>
        </w:rPr>
        <w:t>Cau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Giay</w:t>
      </w:r>
      <w:proofErr w:type="spellEnd"/>
      <w:r>
        <w:rPr>
          <w:rFonts w:ascii="Arial" w:hAnsi="Arial"/>
          <w:sz w:val="20"/>
        </w:rPr>
        <w:t xml:space="preserve"> District, Hanoi (on the working days of the week from Monday to Friday) starting on August 05, 2024.</w:t>
      </w:r>
    </w:p>
    <w:p w14:paraId="0000000C" w14:textId="6ECFD7EF" w:rsidR="00F21467" w:rsidRDefault="001B258B" w:rsidP="003C01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The recipient of </w:t>
      </w:r>
      <w:r w:rsidR="003C01C6">
        <w:rPr>
          <w:rFonts w:ascii="Arial" w:hAnsi="Arial"/>
          <w:sz w:val="20"/>
        </w:rPr>
        <w:t>dividend</w:t>
      </w:r>
      <w:r>
        <w:rPr>
          <w:rFonts w:ascii="Arial" w:hAnsi="Arial"/>
          <w:sz w:val="20"/>
        </w:rPr>
        <w:t xml:space="preserve"> must present an ID card/Citizen identification card and a legal power of attorney (in case of authorization).</w:t>
      </w:r>
    </w:p>
    <w:p w14:paraId="0000000D" w14:textId="12C3E805" w:rsidR="00F21467" w:rsidRDefault="001B258B" w:rsidP="003C01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2. Approve the plan to record the list of shareholders to pay </w:t>
      </w:r>
      <w:r w:rsidR="003C01C6">
        <w:rPr>
          <w:rFonts w:ascii="Arial" w:hAnsi="Arial"/>
          <w:sz w:val="20"/>
        </w:rPr>
        <w:t>dividend</w:t>
      </w:r>
      <w:r>
        <w:rPr>
          <w:rFonts w:ascii="Arial" w:hAnsi="Arial"/>
          <w:sz w:val="20"/>
        </w:rPr>
        <w:t xml:space="preserve"> in 2023 by shares to existing shareholders of </w:t>
      </w:r>
      <w:proofErr w:type="spellStart"/>
      <w:r>
        <w:rPr>
          <w:rFonts w:ascii="Arial" w:hAnsi="Arial"/>
          <w:sz w:val="20"/>
        </w:rPr>
        <w:t>Visicons</w:t>
      </w:r>
      <w:proofErr w:type="spellEnd"/>
      <w:r>
        <w:rPr>
          <w:rFonts w:ascii="Arial" w:hAnsi="Arial"/>
          <w:sz w:val="20"/>
        </w:rPr>
        <w:t xml:space="preserve"> Construction </w:t>
      </w:r>
      <w:proofErr w:type="gramStart"/>
      <w:r>
        <w:rPr>
          <w:rFonts w:ascii="Arial" w:hAnsi="Arial"/>
          <w:sz w:val="20"/>
        </w:rPr>
        <w:t>And</w:t>
      </w:r>
      <w:proofErr w:type="gramEnd"/>
      <w:r>
        <w:rPr>
          <w:rFonts w:ascii="Arial" w:hAnsi="Arial"/>
          <w:sz w:val="20"/>
        </w:rPr>
        <w:t xml:space="preserve"> Investment Joint Stock Company, specifically as follows:</w:t>
      </w:r>
    </w:p>
    <w:p w14:paraId="0000000E" w14:textId="77777777" w:rsidR="00F21467" w:rsidRDefault="001B258B" w:rsidP="003C01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6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Record date: July 19, 2024</w:t>
      </w:r>
    </w:p>
    <w:p w14:paraId="0000000F" w14:textId="77777777" w:rsidR="00F21467" w:rsidRDefault="001B258B" w:rsidP="003C01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Reason and purpose: Dividend payment in 2023 by shares with the rate of 10%</w:t>
      </w:r>
    </w:p>
    <w:p w14:paraId="00000010" w14:textId="77777777" w:rsidR="00F21467" w:rsidRDefault="001B258B" w:rsidP="003C01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Specific contents: Dividend payment by shares in 2023:</w:t>
      </w:r>
    </w:p>
    <w:p w14:paraId="00000011" w14:textId="2BE1645D" w:rsidR="00F21467" w:rsidRDefault="001B258B" w:rsidP="003C01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Exercise rate 10% (Shareholders receive 10 new shares for every 100 shares </w:t>
      </w:r>
      <w:r w:rsidR="003C01C6">
        <w:rPr>
          <w:rFonts w:ascii="Arial" w:hAnsi="Arial"/>
          <w:sz w:val="20"/>
        </w:rPr>
        <w:t>owned</w:t>
      </w:r>
      <w:r>
        <w:rPr>
          <w:rFonts w:ascii="Arial" w:hAnsi="Arial"/>
          <w:sz w:val="20"/>
        </w:rPr>
        <w:t>)</w:t>
      </w:r>
    </w:p>
    <w:p w14:paraId="00000012" w14:textId="2DAF9998" w:rsidR="00F21467" w:rsidRDefault="001B258B" w:rsidP="003C01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Rounding and handling fractional shares: The number of shares issued will be rounded down to the nearest whole unit, and any fractional shares (if any) will be </w:t>
      </w:r>
      <w:r w:rsidR="003C01C6">
        <w:rPr>
          <w:rFonts w:ascii="Arial" w:hAnsi="Arial"/>
          <w:sz w:val="20"/>
        </w:rPr>
        <w:t>disposed of</w:t>
      </w:r>
      <w:r>
        <w:rPr>
          <w:rFonts w:ascii="Arial" w:hAnsi="Arial"/>
          <w:sz w:val="20"/>
        </w:rPr>
        <w:t>.</w:t>
      </w:r>
    </w:p>
    <w:p w14:paraId="00000013" w14:textId="73036540" w:rsidR="00F21467" w:rsidRDefault="001B258B" w:rsidP="003C01C6">
      <w:pPr>
        <w:pBdr>
          <w:top w:val="nil"/>
          <w:left w:val="nil"/>
          <w:bottom w:val="nil"/>
          <w:right w:val="nil"/>
          <w:between w:val="nil"/>
        </w:pBdr>
        <w:tabs>
          <w:tab w:val="left" w:pos="904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For example: Shareholder A owns 1256 shares, with the rate to exercise of the right of 10:01, the number of shares that shareholder A receives is:1256*10/100= 125.60 shares.   According to the above rounding principle the number of new shares that shareholder A will receive is 125 shares, the number of fractional shares (0.60 shares) will be </w:t>
      </w:r>
      <w:r w:rsidR="003C01C6">
        <w:rPr>
          <w:rFonts w:ascii="Arial" w:hAnsi="Arial"/>
          <w:sz w:val="20"/>
        </w:rPr>
        <w:t>disposed of</w:t>
      </w:r>
      <w:r>
        <w:rPr>
          <w:rFonts w:ascii="Arial" w:hAnsi="Arial"/>
          <w:sz w:val="20"/>
        </w:rPr>
        <w:t xml:space="preserve">. </w:t>
      </w:r>
    </w:p>
    <w:p w14:paraId="00000014" w14:textId="77777777" w:rsidR="00F21467" w:rsidRDefault="00F21467" w:rsidP="003C01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5" w14:textId="77777777" w:rsidR="00F21467" w:rsidRDefault="001B258B" w:rsidP="003C01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Implementation location:</w:t>
      </w:r>
    </w:p>
    <w:p w14:paraId="00000016" w14:textId="65B58BF1" w:rsidR="00F21467" w:rsidRDefault="001B258B" w:rsidP="003C01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For deposited securities: Owners carry out the procedures to receive </w:t>
      </w:r>
      <w:r w:rsidR="003C01C6">
        <w:rPr>
          <w:rFonts w:ascii="Arial" w:hAnsi="Arial"/>
          <w:sz w:val="20"/>
        </w:rPr>
        <w:t>dividend</w:t>
      </w:r>
      <w:r>
        <w:rPr>
          <w:rFonts w:ascii="Arial" w:hAnsi="Arial"/>
          <w:sz w:val="20"/>
        </w:rPr>
        <w:t xml:space="preserve"> by shares at the depository members where depository accounts are opened.</w:t>
      </w:r>
    </w:p>
    <w:p w14:paraId="00000017" w14:textId="590C13B6" w:rsidR="00F21467" w:rsidRDefault="001B258B" w:rsidP="003C01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For undeposited securities: Securities owners carry out procedures to receive </w:t>
      </w:r>
      <w:r w:rsidR="003C01C6">
        <w:rPr>
          <w:rFonts w:ascii="Arial" w:hAnsi="Arial"/>
          <w:sz w:val="20"/>
        </w:rPr>
        <w:t>dividend</w:t>
      </w:r>
      <w:r>
        <w:rPr>
          <w:rFonts w:ascii="Arial" w:hAnsi="Arial"/>
          <w:sz w:val="20"/>
        </w:rPr>
        <w:t xml:space="preserve"> in shares at the Headquarters of </w:t>
      </w:r>
      <w:proofErr w:type="spellStart"/>
      <w:r>
        <w:rPr>
          <w:rFonts w:ascii="Arial" w:hAnsi="Arial"/>
          <w:sz w:val="20"/>
        </w:rPr>
        <w:t>Visicons</w:t>
      </w:r>
      <w:proofErr w:type="spellEnd"/>
      <w:r>
        <w:rPr>
          <w:rFonts w:ascii="Arial" w:hAnsi="Arial"/>
          <w:sz w:val="20"/>
        </w:rPr>
        <w:t xml:space="preserve"> Construction </w:t>
      </w:r>
      <w:proofErr w:type="gramStart"/>
      <w:r>
        <w:rPr>
          <w:rFonts w:ascii="Arial" w:hAnsi="Arial"/>
          <w:sz w:val="20"/>
        </w:rPr>
        <w:t>And</w:t>
      </w:r>
      <w:proofErr w:type="gramEnd"/>
      <w:r>
        <w:rPr>
          <w:rFonts w:ascii="Arial" w:hAnsi="Arial"/>
          <w:sz w:val="20"/>
        </w:rPr>
        <w:t xml:space="preserve"> Investment Joint Stock Company (Address: 5th Floor, 29T2 Building, Hoang Dao Thuy Street, </w:t>
      </w:r>
      <w:proofErr w:type="spellStart"/>
      <w:r>
        <w:rPr>
          <w:rFonts w:ascii="Arial" w:hAnsi="Arial"/>
          <w:sz w:val="20"/>
        </w:rPr>
        <w:t>Trung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Hoa</w:t>
      </w:r>
      <w:proofErr w:type="spellEnd"/>
      <w:r>
        <w:rPr>
          <w:rFonts w:ascii="Arial" w:hAnsi="Arial"/>
          <w:sz w:val="20"/>
        </w:rPr>
        <w:t xml:space="preserve"> Ward, </w:t>
      </w:r>
      <w:proofErr w:type="spellStart"/>
      <w:r>
        <w:rPr>
          <w:rFonts w:ascii="Arial" w:hAnsi="Arial"/>
          <w:sz w:val="20"/>
        </w:rPr>
        <w:t>Cau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Giay</w:t>
      </w:r>
      <w:proofErr w:type="spellEnd"/>
      <w:r>
        <w:rPr>
          <w:rFonts w:ascii="Arial" w:hAnsi="Arial"/>
          <w:sz w:val="20"/>
        </w:rPr>
        <w:t xml:space="preserve"> District, Hanoi City) on the working days of the week.  When coming to carry out the procedures, shareholders are requested to present the certificate of share ownership and the ID Card/Citizen identity card/Passport.</w:t>
      </w:r>
    </w:p>
    <w:p w14:paraId="00000018" w14:textId="09EFD2E7" w:rsidR="00F21467" w:rsidRDefault="001B258B" w:rsidP="003C01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sz w:val="20"/>
        </w:rPr>
        <w:t xml:space="preserve">‎‎Article 3. The Board of Directors assigned the General Manager to direct the organization and implementation of procedures to record the list of shareholders to pay </w:t>
      </w:r>
      <w:r w:rsidR="003C01C6">
        <w:rPr>
          <w:rFonts w:ascii="Arial" w:hAnsi="Arial"/>
          <w:sz w:val="20"/>
        </w:rPr>
        <w:t>dividend</w:t>
      </w:r>
      <w:r>
        <w:rPr>
          <w:rFonts w:ascii="Arial" w:hAnsi="Arial"/>
          <w:sz w:val="20"/>
        </w:rPr>
        <w:t xml:space="preserve"> in 2023 in cash and by shares to existing shareholders of </w:t>
      </w:r>
      <w:proofErr w:type="spellStart"/>
      <w:r>
        <w:rPr>
          <w:rFonts w:ascii="Arial" w:hAnsi="Arial"/>
          <w:sz w:val="20"/>
        </w:rPr>
        <w:t>Visicons</w:t>
      </w:r>
      <w:proofErr w:type="spellEnd"/>
      <w:r>
        <w:rPr>
          <w:rFonts w:ascii="Arial" w:hAnsi="Arial"/>
          <w:sz w:val="20"/>
        </w:rPr>
        <w:t xml:space="preserve"> Construction And Investment Joint Stock Company at Vietnam Securities Depository and Clearing Corporation and implementing related work according to the guidance of the State Securities Commission in document No. 4046/UBCK-QLCB dated June 28, 2024 on "Report documents for share </w:t>
      </w:r>
      <w:r w:rsidR="003C01C6">
        <w:rPr>
          <w:rFonts w:ascii="Arial" w:hAnsi="Arial"/>
          <w:sz w:val="20"/>
        </w:rPr>
        <w:t>issue</w:t>
      </w:r>
      <w:r>
        <w:rPr>
          <w:rFonts w:ascii="Arial" w:hAnsi="Arial"/>
          <w:sz w:val="20"/>
        </w:rPr>
        <w:t xml:space="preserve"> to pay </w:t>
      </w:r>
      <w:r w:rsidR="003C01C6">
        <w:rPr>
          <w:rFonts w:ascii="Arial" w:hAnsi="Arial"/>
          <w:sz w:val="20"/>
        </w:rPr>
        <w:t>dividend</w:t>
      </w:r>
      <w:r>
        <w:rPr>
          <w:rFonts w:ascii="Arial" w:hAnsi="Arial"/>
          <w:sz w:val="20"/>
        </w:rPr>
        <w:t xml:space="preserve"> of VC6" </w:t>
      </w:r>
      <w:r w:rsidR="003C01C6">
        <w:rPr>
          <w:rFonts w:ascii="Arial" w:hAnsi="Arial"/>
          <w:sz w:val="20"/>
        </w:rPr>
        <w:t>under</w:t>
      </w:r>
      <w:r>
        <w:rPr>
          <w:rFonts w:ascii="Arial" w:hAnsi="Arial"/>
          <w:sz w:val="20"/>
        </w:rPr>
        <w:t xml:space="preserve"> the Law on Enterprise</w:t>
      </w:r>
      <w:r w:rsidR="003C01C6">
        <w:rPr>
          <w:rFonts w:ascii="Arial" w:hAnsi="Arial"/>
          <w:sz w:val="20"/>
        </w:rPr>
        <w:t>s and</w:t>
      </w:r>
      <w:r>
        <w:rPr>
          <w:rFonts w:ascii="Arial" w:hAnsi="Arial"/>
          <w:sz w:val="20"/>
        </w:rPr>
        <w:t xml:space="preserve"> Law on Securities and the Company's Charter.</w:t>
      </w:r>
    </w:p>
    <w:p w14:paraId="00000019" w14:textId="28935621" w:rsidR="00F21467" w:rsidRDefault="001B258B" w:rsidP="003C01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4. This </w:t>
      </w:r>
      <w:r w:rsidR="003C01C6">
        <w:rPr>
          <w:rFonts w:ascii="Arial" w:hAnsi="Arial"/>
          <w:sz w:val="20"/>
        </w:rPr>
        <w:t xml:space="preserve">Board </w:t>
      </w:r>
      <w:r>
        <w:rPr>
          <w:rFonts w:ascii="Arial" w:hAnsi="Arial"/>
          <w:sz w:val="20"/>
        </w:rPr>
        <w:t>Resolution takes effect from the date of its signing. Memb</w:t>
      </w:r>
      <w:r w:rsidR="003C01C6">
        <w:rPr>
          <w:rFonts w:ascii="Arial" w:hAnsi="Arial"/>
          <w:sz w:val="20"/>
        </w:rPr>
        <w:t xml:space="preserve">ers of the Board of Directors, Supervisory Board and Executive Board, </w:t>
      </w:r>
      <w:r>
        <w:rPr>
          <w:rFonts w:ascii="Arial" w:hAnsi="Arial"/>
          <w:sz w:val="20"/>
        </w:rPr>
        <w:t xml:space="preserve">Chief Accountant and Heads of relevant departments and units are responsible for implementing this </w:t>
      </w:r>
      <w:bookmarkStart w:id="1" w:name="_GoBack"/>
      <w:bookmarkEnd w:id="1"/>
      <w:r>
        <w:rPr>
          <w:rFonts w:ascii="Arial" w:hAnsi="Arial"/>
          <w:sz w:val="20"/>
        </w:rPr>
        <w:t>Resolution.</w:t>
      </w:r>
    </w:p>
    <w:sectPr w:rsidR="00F21467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692E"/>
    <w:multiLevelType w:val="multilevel"/>
    <w:tmpl w:val="B9DCB1E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83B3E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7551233"/>
    <w:multiLevelType w:val="multilevel"/>
    <w:tmpl w:val="AD5AE66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12327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BAC7077"/>
    <w:multiLevelType w:val="multilevel"/>
    <w:tmpl w:val="AD2AB6F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12327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67"/>
    <w:rsid w:val="001B258B"/>
    <w:rsid w:val="003C01C6"/>
    <w:rsid w:val="00F2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4433"/>
  <w15:docId w15:val="{C3FF775F-717A-449E-A932-CE0B19B5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327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83B3E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383B3E"/>
      <w:sz w:val="17"/>
      <w:szCs w:val="17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327"/>
      <w:sz w:val="28"/>
      <w:szCs w:val="28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76" w:lineRule="auto"/>
      <w:ind w:firstLine="10"/>
    </w:pPr>
    <w:rPr>
      <w:rFonts w:ascii="Times New Roman" w:eastAsia="Times New Roman" w:hAnsi="Times New Roman" w:cs="Times New Roman"/>
      <w:color w:val="212327"/>
    </w:rPr>
  </w:style>
  <w:style w:type="paragraph" w:customStyle="1" w:styleId="Bodytext30">
    <w:name w:val="Body text (3)"/>
    <w:basedOn w:val="Normal"/>
    <w:link w:val="Bodytext3"/>
    <w:pPr>
      <w:shd w:val="clear" w:color="auto" w:fill="FFFFFF"/>
    </w:pPr>
    <w:rPr>
      <w:rFonts w:ascii="Times New Roman" w:eastAsia="Times New Roman" w:hAnsi="Times New Roman" w:cs="Times New Roman"/>
      <w:i/>
      <w:iCs/>
      <w:color w:val="383B3E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Arial" w:eastAsia="Arial" w:hAnsi="Arial" w:cs="Arial"/>
      <w:color w:val="383B3E"/>
      <w:sz w:val="17"/>
      <w:szCs w:val="17"/>
    </w:rPr>
  </w:style>
  <w:style w:type="paragraph" w:customStyle="1" w:styleId="Heading11">
    <w:name w:val="Heading #1"/>
    <w:basedOn w:val="Normal"/>
    <w:link w:val="Heading10"/>
    <w:pPr>
      <w:shd w:val="clear" w:color="auto" w:fill="FFFFFF"/>
      <w:ind w:left="3680"/>
      <w:outlineLvl w:val="0"/>
    </w:pPr>
    <w:rPr>
      <w:rFonts w:ascii="Times New Roman" w:eastAsia="Times New Roman" w:hAnsi="Times New Roman" w:cs="Times New Roman"/>
      <w:b/>
      <w:bCs/>
      <w:color w:val="212327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GbnZcY0yG5woYnCxISpxKHmrhg==">CgMxLjAyCGguZ2pkZ3hzOAByITFROG9NMTducFBBWG1oNXhxbm85emFyX1NOVTVHX1ludw==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2024-07-04T09:33:00Z</dcterms:created>
  <dcterms:modified xsi:type="dcterms:W3CDTF">2024-07-04T09:33:00Z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e192094d7d593c1822667be496c0377cdb014768088f282e6dcc8b90a64209d1</vt:lpwstr>
  </property>
</Properties>
</file>