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2FE5F" w14:textId="7777777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Pr>
          <w:rFonts w:ascii="Arial" w:hAnsi="Arial"/>
          <w:b/>
          <w:color w:val="010000"/>
          <w:sz w:val="20"/>
        </w:rPr>
        <w:t>VIF: Annual General Mandate 2024</w:t>
      </w:r>
    </w:p>
    <w:p w14:paraId="1FB532B1" w14:textId="7777777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On June 28, 2024, Viet Nam Forestry Corporation - Joint Stock company announced General Mandate No. 244 NQ/DHDCD as follows:</w:t>
      </w:r>
    </w:p>
    <w:p w14:paraId="05668247" w14:textId="7777777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 Approve the Proposal on Development Strategy of Viet Nam Forestry Corporation - Joint Stock company until 2030, vision to 2035, 5-year production, business, investment and development plan to 2025. In which:</w:t>
      </w:r>
    </w:p>
    <w:p w14:paraId="48A08654" w14:textId="77777777" w:rsidR="005705DA" w:rsidRDefault="00E057D0" w:rsidP="00BC5F12">
      <w:pPr>
        <w:numPr>
          <w:ilvl w:val="0"/>
          <w:numId w:val="6"/>
        </w:numPr>
        <w:pBdr>
          <w:top w:val="nil"/>
          <w:left w:val="nil"/>
          <w:bottom w:val="nil"/>
          <w:right w:val="nil"/>
          <w:between w:val="nil"/>
        </w:pBdr>
        <w:tabs>
          <w:tab w:val="left" w:pos="432"/>
          <w:tab w:val="left" w:pos="652"/>
        </w:tabs>
        <w:spacing w:after="120" w:line="360" w:lineRule="auto"/>
        <w:jc w:val="both"/>
        <w:rPr>
          <w:rFonts w:ascii="Arial" w:eastAsia="Arial" w:hAnsi="Arial" w:cs="Arial"/>
          <w:color w:val="010000"/>
          <w:sz w:val="20"/>
          <w:szCs w:val="20"/>
        </w:rPr>
      </w:pPr>
      <w:r>
        <w:rPr>
          <w:rFonts w:ascii="Arial" w:hAnsi="Arial"/>
          <w:color w:val="010000"/>
          <w:sz w:val="20"/>
        </w:rPr>
        <w:t>Development strategy of Viet Nam Forestry Corporation - Joint Stock company until 2030, vision to 2035</w:t>
      </w:r>
    </w:p>
    <w:p w14:paraId="514E289E" w14:textId="77777777" w:rsidR="005705DA" w:rsidRDefault="00E057D0" w:rsidP="00BC5F12">
      <w:pPr>
        <w:numPr>
          <w:ilvl w:val="0"/>
          <w:numId w:val="7"/>
        </w:numPr>
        <w:pBdr>
          <w:top w:val="nil"/>
          <w:left w:val="nil"/>
          <w:bottom w:val="nil"/>
          <w:right w:val="nil"/>
          <w:between w:val="nil"/>
        </w:pBdr>
        <w:tabs>
          <w:tab w:val="left" w:pos="432"/>
          <w:tab w:val="left" w:pos="900"/>
        </w:tabs>
        <w:spacing w:after="120" w:line="360" w:lineRule="auto"/>
        <w:jc w:val="both"/>
        <w:rPr>
          <w:rFonts w:ascii="Arial" w:eastAsia="Arial" w:hAnsi="Arial" w:cs="Arial"/>
          <w:color w:val="010000"/>
          <w:sz w:val="20"/>
          <w:szCs w:val="20"/>
        </w:rPr>
      </w:pPr>
      <w:r>
        <w:rPr>
          <w:rFonts w:ascii="Arial" w:hAnsi="Arial"/>
          <w:color w:val="010000"/>
          <w:sz w:val="20"/>
        </w:rPr>
        <w:t>Strategy until 2030: Striving to</w:t>
      </w:r>
    </w:p>
    <w:p w14:paraId="3E792903" w14:textId="77777777" w:rsidR="005705DA" w:rsidRDefault="00E057D0" w:rsidP="00BC5F12">
      <w:pPr>
        <w:numPr>
          <w:ilvl w:val="0"/>
          <w:numId w:val="8"/>
        </w:numPr>
        <w:pBdr>
          <w:top w:val="nil"/>
          <w:left w:val="nil"/>
          <w:bottom w:val="nil"/>
          <w:right w:val="nil"/>
          <w:between w:val="nil"/>
        </w:pBdr>
        <w:tabs>
          <w:tab w:val="left" w:pos="432"/>
          <w:tab w:val="left" w:pos="794"/>
        </w:tabs>
        <w:spacing w:after="120" w:line="360" w:lineRule="auto"/>
        <w:jc w:val="both"/>
        <w:rPr>
          <w:rFonts w:ascii="Arial" w:eastAsia="Arial" w:hAnsi="Arial" w:cs="Arial"/>
          <w:color w:val="010000"/>
          <w:sz w:val="20"/>
          <w:szCs w:val="20"/>
        </w:rPr>
      </w:pPr>
      <w:r>
        <w:rPr>
          <w:rFonts w:ascii="Arial" w:hAnsi="Arial"/>
          <w:color w:val="010000"/>
          <w:sz w:val="20"/>
        </w:rPr>
        <w:t>Maintain stability and strive for the entire Corporation to increase the proportion of revenue from main production and business activities (tree varieties, afforestation, wood processing, trading of forest products, etc.) by 2030 at a rate of about 70% (revenue calculated according to capital contribution rate).</w:t>
      </w:r>
    </w:p>
    <w:p w14:paraId="49273C58" w14:textId="77777777" w:rsidR="005705DA" w:rsidRDefault="00E057D0" w:rsidP="00BC5F12">
      <w:pPr>
        <w:numPr>
          <w:ilvl w:val="0"/>
          <w:numId w:val="8"/>
        </w:numPr>
        <w:pBdr>
          <w:top w:val="nil"/>
          <w:left w:val="nil"/>
          <w:bottom w:val="nil"/>
          <w:right w:val="nil"/>
          <w:between w:val="nil"/>
        </w:pBdr>
        <w:tabs>
          <w:tab w:val="left" w:pos="432"/>
          <w:tab w:val="left" w:pos="790"/>
        </w:tabs>
        <w:spacing w:after="120" w:line="360" w:lineRule="auto"/>
        <w:jc w:val="both"/>
        <w:rPr>
          <w:rFonts w:ascii="Arial" w:eastAsia="Arial" w:hAnsi="Arial" w:cs="Arial"/>
          <w:color w:val="010000"/>
          <w:sz w:val="20"/>
          <w:szCs w:val="20"/>
        </w:rPr>
      </w:pPr>
      <w:r>
        <w:rPr>
          <w:rFonts w:ascii="Arial" w:hAnsi="Arial"/>
          <w:color w:val="010000"/>
          <w:sz w:val="20"/>
        </w:rPr>
        <w:t>Have carbon certified products, participate in domestic and international markets in accordance with regulations.</w:t>
      </w:r>
    </w:p>
    <w:p w14:paraId="0142D729" w14:textId="77777777" w:rsidR="005705DA" w:rsidRDefault="00E057D0" w:rsidP="00BC5F12">
      <w:pPr>
        <w:numPr>
          <w:ilvl w:val="0"/>
          <w:numId w:val="7"/>
        </w:numPr>
        <w:pBdr>
          <w:top w:val="nil"/>
          <w:left w:val="nil"/>
          <w:bottom w:val="nil"/>
          <w:right w:val="nil"/>
          <w:between w:val="nil"/>
        </w:pBdr>
        <w:tabs>
          <w:tab w:val="left" w:pos="432"/>
          <w:tab w:val="left" w:pos="920"/>
        </w:tabs>
        <w:spacing w:after="120" w:line="360" w:lineRule="auto"/>
        <w:jc w:val="both"/>
        <w:rPr>
          <w:rFonts w:ascii="Arial" w:eastAsia="Arial" w:hAnsi="Arial" w:cs="Arial"/>
          <w:color w:val="010000"/>
          <w:sz w:val="20"/>
          <w:szCs w:val="20"/>
        </w:rPr>
      </w:pPr>
      <w:r>
        <w:rPr>
          <w:rFonts w:ascii="Arial" w:hAnsi="Arial"/>
          <w:color w:val="010000"/>
          <w:sz w:val="20"/>
        </w:rPr>
        <w:t>Vision to 2035</w:t>
      </w:r>
    </w:p>
    <w:p w14:paraId="7C44F58A" w14:textId="77777777" w:rsidR="005705DA" w:rsidRDefault="00E057D0" w:rsidP="00BC5F12">
      <w:pPr>
        <w:numPr>
          <w:ilvl w:val="0"/>
          <w:numId w:val="8"/>
        </w:numPr>
        <w:pBdr>
          <w:top w:val="nil"/>
          <w:left w:val="nil"/>
          <w:bottom w:val="nil"/>
          <w:right w:val="nil"/>
          <w:between w:val="nil"/>
        </w:pBdr>
        <w:tabs>
          <w:tab w:val="left" w:pos="432"/>
          <w:tab w:val="left" w:pos="794"/>
        </w:tabs>
        <w:spacing w:after="120" w:line="360" w:lineRule="auto"/>
        <w:jc w:val="both"/>
        <w:rPr>
          <w:rFonts w:ascii="Arial" w:eastAsia="Arial" w:hAnsi="Arial" w:cs="Arial"/>
          <w:color w:val="010000"/>
          <w:sz w:val="20"/>
          <w:szCs w:val="20"/>
        </w:rPr>
      </w:pPr>
      <w:r>
        <w:rPr>
          <w:rFonts w:ascii="Arial" w:hAnsi="Arial"/>
          <w:color w:val="010000"/>
          <w:sz w:val="20"/>
        </w:rPr>
        <w:t>Maintain the leading position in Vietnam in the field of forestry, production and business of planted forests and forestry varieties of the Corporation; maintain the pioneering role in the forestry industry in terms of innovation, research, and application of science and technology in forestry, forest exploitation, and forestry varieties production. Own large areas of timber forests; supplement a number of new forestry plants and multi-purpose plants with high economic value.</w:t>
      </w:r>
    </w:p>
    <w:p w14:paraId="7C8CB16E" w14:textId="77777777" w:rsidR="005705DA" w:rsidRDefault="00E057D0" w:rsidP="00BC5F12">
      <w:pPr>
        <w:numPr>
          <w:ilvl w:val="0"/>
          <w:numId w:val="8"/>
        </w:numPr>
        <w:pBdr>
          <w:top w:val="nil"/>
          <w:left w:val="nil"/>
          <w:bottom w:val="nil"/>
          <w:right w:val="nil"/>
          <w:between w:val="nil"/>
        </w:pBdr>
        <w:tabs>
          <w:tab w:val="left" w:pos="432"/>
          <w:tab w:val="left" w:pos="794"/>
        </w:tabs>
        <w:spacing w:after="120" w:line="360" w:lineRule="auto"/>
        <w:jc w:val="both"/>
        <w:rPr>
          <w:rFonts w:ascii="Arial" w:eastAsia="Arial" w:hAnsi="Arial" w:cs="Arial"/>
          <w:color w:val="010000"/>
          <w:sz w:val="20"/>
          <w:szCs w:val="20"/>
        </w:rPr>
      </w:pPr>
      <w:r>
        <w:rPr>
          <w:rFonts w:ascii="Arial" w:hAnsi="Arial"/>
          <w:color w:val="010000"/>
          <w:sz w:val="20"/>
        </w:rPr>
        <w:t>Participate extensively and fully as an investor in the forest carbon credit business, support citizens in growing forests to develop and consume forest carbon credits.</w:t>
      </w:r>
    </w:p>
    <w:p w14:paraId="3C7FCFE8" w14:textId="77777777" w:rsidR="005705DA" w:rsidRDefault="00E057D0" w:rsidP="00BC5F12">
      <w:pPr>
        <w:numPr>
          <w:ilvl w:val="0"/>
          <w:numId w:val="8"/>
        </w:numPr>
        <w:pBdr>
          <w:top w:val="nil"/>
          <w:left w:val="nil"/>
          <w:bottom w:val="nil"/>
          <w:right w:val="nil"/>
          <w:between w:val="nil"/>
        </w:pBdr>
        <w:tabs>
          <w:tab w:val="left" w:pos="432"/>
          <w:tab w:val="left" w:pos="794"/>
        </w:tabs>
        <w:spacing w:after="120" w:line="360" w:lineRule="auto"/>
        <w:jc w:val="both"/>
        <w:rPr>
          <w:rFonts w:ascii="Arial" w:eastAsia="Arial" w:hAnsi="Arial" w:cs="Arial"/>
          <w:color w:val="010000"/>
          <w:sz w:val="20"/>
          <w:szCs w:val="20"/>
        </w:rPr>
      </w:pPr>
      <w:r>
        <w:rPr>
          <w:rFonts w:ascii="Arial" w:hAnsi="Arial"/>
          <w:color w:val="010000"/>
          <w:sz w:val="20"/>
        </w:rPr>
        <w:t xml:space="preserve">Build a forestry industry ecosystem, including main business lines and supporting industries for forestry production activities; build and develop advanced and modern wood processing factories for the domestic and export markets. Develop sustainable forests with certification with the </w:t>
      </w:r>
      <w:proofErr w:type="spellStart"/>
      <w:r>
        <w:rPr>
          <w:rFonts w:ascii="Arial" w:hAnsi="Arial"/>
          <w:color w:val="010000"/>
          <w:sz w:val="20"/>
        </w:rPr>
        <w:t>Vinafor</w:t>
      </w:r>
      <w:proofErr w:type="spellEnd"/>
      <w:r>
        <w:rPr>
          <w:rFonts w:ascii="Arial" w:hAnsi="Arial"/>
          <w:color w:val="010000"/>
          <w:sz w:val="20"/>
        </w:rPr>
        <w:t xml:space="preserve"> brand.</w:t>
      </w:r>
    </w:p>
    <w:p w14:paraId="0E57D65E" w14:textId="77777777" w:rsidR="005705DA" w:rsidRDefault="00E057D0" w:rsidP="00BC5F12">
      <w:pPr>
        <w:numPr>
          <w:ilvl w:val="0"/>
          <w:numId w:val="6"/>
        </w:numPr>
        <w:pBdr>
          <w:top w:val="nil"/>
          <w:left w:val="nil"/>
          <w:bottom w:val="nil"/>
          <w:right w:val="nil"/>
          <w:between w:val="nil"/>
        </w:pBdr>
        <w:tabs>
          <w:tab w:val="left" w:pos="432"/>
          <w:tab w:val="left" w:pos="652"/>
        </w:tabs>
        <w:spacing w:after="120" w:line="360" w:lineRule="auto"/>
        <w:jc w:val="both"/>
        <w:rPr>
          <w:rFonts w:ascii="Arial" w:eastAsia="Arial" w:hAnsi="Arial" w:cs="Arial"/>
          <w:color w:val="010000"/>
          <w:sz w:val="20"/>
          <w:szCs w:val="20"/>
        </w:rPr>
      </w:pPr>
      <w:r>
        <w:rPr>
          <w:rFonts w:ascii="Arial" w:hAnsi="Arial"/>
          <w:color w:val="010000"/>
          <w:sz w:val="20"/>
        </w:rPr>
        <w:t>5-year production, business, investment, and development plan to 2025 of Viet Nam Forestry Corporation - Joint Stock company. In which:</w:t>
      </w:r>
    </w:p>
    <w:p w14:paraId="5AC79AE1" w14:textId="77777777" w:rsidR="005705DA" w:rsidRDefault="00E057D0" w:rsidP="00BC5F12">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Targets of the 5-year production and business plan to 2025 of Viet Nam Forestry Corporation - Joint Stock company:</w:t>
      </w:r>
    </w:p>
    <w:p w14:paraId="368D9590" w14:textId="77777777" w:rsidR="005705DA" w:rsidRDefault="00E057D0" w:rsidP="00BC5F12">
      <w:pPr>
        <w:numPr>
          <w:ilvl w:val="0"/>
          <w:numId w:val="8"/>
        </w:numPr>
        <w:pBdr>
          <w:top w:val="nil"/>
          <w:left w:val="nil"/>
          <w:bottom w:val="nil"/>
          <w:right w:val="nil"/>
          <w:between w:val="nil"/>
        </w:pBdr>
        <w:tabs>
          <w:tab w:val="left" w:pos="432"/>
          <w:tab w:val="left" w:pos="661"/>
        </w:tabs>
        <w:spacing w:after="120" w:line="360" w:lineRule="auto"/>
        <w:jc w:val="both"/>
        <w:rPr>
          <w:rFonts w:ascii="Arial" w:eastAsia="Arial" w:hAnsi="Arial" w:cs="Arial"/>
          <w:color w:val="010000"/>
          <w:sz w:val="20"/>
          <w:szCs w:val="20"/>
        </w:rPr>
      </w:pPr>
      <w:r>
        <w:rPr>
          <w:rFonts w:ascii="Arial" w:hAnsi="Arial"/>
          <w:color w:val="010000"/>
          <w:sz w:val="20"/>
        </w:rPr>
        <w:t>Total consolidated revenue of the Corporation until 2025 reaches VND10,360 billion. In which, the holding Company reaches about VND5,481 billion.</w:t>
      </w:r>
    </w:p>
    <w:p w14:paraId="70AF7766" w14:textId="77777777" w:rsidR="005705DA" w:rsidRDefault="00E057D0" w:rsidP="00BC5F12">
      <w:pPr>
        <w:numPr>
          <w:ilvl w:val="0"/>
          <w:numId w:val="8"/>
        </w:numPr>
        <w:pBdr>
          <w:top w:val="nil"/>
          <w:left w:val="nil"/>
          <w:bottom w:val="nil"/>
          <w:right w:val="nil"/>
          <w:between w:val="nil"/>
        </w:pBdr>
        <w:tabs>
          <w:tab w:val="left" w:pos="432"/>
          <w:tab w:val="left" w:pos="661"/>
        </w:tabs>
        <w:spacing w:after="120" w:line="360" w:lineRule="auto"/>
        <w:jc w:val="both"/>
        <w:rPr>
          <w:rFonts w:ascii="Arial" w:eastAsia="Arial" w:hAnsi="Arial" w:cs="Arial"/>
          <w:color w:val="010000"/>
          <w:sz w:val="20"/>
          <w:szCs w:val="20"/>
        </w:rPr>
      </w:pPr>
      <w:r>
        <w:rPr>
          <w:rFonts w:ascii="Arial" w:hAnsi="Arial"/>
          <w:color w:val="010000"/>
          <w:sz w:val="20"/>
        </w:rPr>
        <w:t>Consolidated profit after tax of the Corporation until 2025 reaches VND1,453 billion. In which, the holding Company reaches about VND1,188 billion.</w:t>
      </w:r>
    </w:p>
    <w:p w14:paraId="168465D7" w14:textId="7777777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The production and business plan until 2025 mentioned above does not take into account objective </w:t>
      </w:r>
      <w:r>
        <w:rPr>
          <w:rFonts w:ascii="Arial" w:hAnsi="Arial"/>
          <w:color w:val="010000"/>
          <w:sz w:val="20"/>
        </w:rPr>
        <w:lastRenderedPageBreak/>
        <w:t>factors incurring during the implementation of the plan.</w:t>
      </w:r>
    </w:p>
    <w:p w14:paraId="70439E3A" w14:textId="77777777" w:rsidR="005705DA" w:rsidRDefault="00E057D0" w:rsidP="00BC5F12">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Investment and development plan until 2025:</w:t>
      </w:r>
    </w:p>
    <w:p w14:paraId="6D1A0EF4" w14:textId="77777777" w:rsidR="005705DA" w:rsidRDefault="00E057D0" w:rsidP="00BC5F12">
      <w:pPr>
        <w:numPr>
          <w:ilvl w:val="0"/>
          <w:numId w:val="8"/>
        </w:numPr>
        <w:pBdr>
          <w:top w:val="nil"/>
          <w:left w:val="nil"/>
          <w:bottom w:val="nil"/>
          <w:right w:val="nil"/>
          <w:between w:val="nil"/>
        </w:pBdr>
        <w:tabs>
          <w:tab w:val="left" w:pos="432"/>
          <w:tab w:val="left" w:pos="668"/>
        </w:tabs>
        <w:spacing w:after="120" w:line="360" w:lineRule="auto"/>
        <w:jc w:val="both"/>
        <w:rPr>
          <w:rFonts w:ascii="Arial" w:eastAsia="Arial" w:hAnsi="Arial" w:cs="Arial"/>
          <w:color w:val="010000"/>
          <w:sz w:val="20"/>
          <w:szCs w:val="20"/>
        </w:rPr>
      </w:pPr>
      <w:r>
        <w:rPr>
          <w:rFonts w:ascii="Arial" w:hAnsi="Arial"/>
          <w:color w:val="010000"/>
          <w:sz w:val="20"/>
        </w:rPr>
        <w:t>Total investment and development: About VND1,724 billion, in which: The Corporation finances and contributes capital for investment and development in the 2021-2025 period of about: VND824 billion</w:t>
      </w:r>
    </w:p>
    <w:p w14:paraId="1BBC9876" w14:textId="7777777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Investment and Development Plan until 2025 can be implemented in case it is approved by competent authorities and there are no problems with policy mechanisms, land planning, etc. when implementing the Project)</w:t>
      </w:r>
    </w:p>
    <w:p w14:paraId="2D31970C" w14:textId="7777777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2. Approve the Report on the plan implementation in 2023, and the orientation for 2024. In which:</w:t>
      </w:r>
    </w:p>
    <w:p w14:paraId="627C7954" w14:textId="77777777" w:rsidR="005705DA" w:rsidRDefault="00E057D0" w:rsidP="00BC5F12">
      <w:pPr>
        <w:numPr>
          <w:ilvl w:val="0"/>
          <w:numId w:val="1"/>
        </w:numPr>
        <w:pBdr>
          <w:top w:val="nil"/>
          <w:left w:val="nil"/>
          <w:bottom w:val="nil"/>
          <w:right w:val="nil"/>
          <w:between w:val="nil"/>
        </w:pBdr>
        <w:tabs>
          <w:tab w:val="left" w:pos="432"/>
          <w:tab w:val="left" w:pos="997"/>
        </w:tabs>
        <w:spacing w:after="120" w:line="360" w:lineRule="auto"/>
        <w:jc w:val="both"/>
        <w:rPr>
          <w:rFonts w:ascii="Arial" w:eastAsia="Arial" w:hAnsi="Arial" w:cs="Arial"/>
          <w:color w:val="010000"/>
          <w:sz w:val="20"/>
          <w:szCs w:val="20"/>
        </w:rPr>
      </w:pPr>
      <w:r>
        <w:rPr>
          <w:rFonts w:ascii="Arial" w:hAnsi="Arial"/>
          <w:color w:val="010000"/>
          <w:sz w:val="20"/>
        </w:rPr>
        <w:t>Production and business plan for 2024 of the Holding Company:</w:t>
      </w:r>
    </w:p>
    <w:p w14:paraId="5C4780C7" w14:textId="77777777" w:rsidR="005705DA" w:rsidRDefault="00E057D0" w:rsidP="00BC5F12">
      <w:pPr>
        <w:numPr>
          <w:ilvl w:val="0"/>
          <w:numId w:val="8"/>
        </w:numPr>
        <w:pBdr>
          <w:top w:val="nil"/>
          <w:left w:val="nil"/>
          <w:bottom w:val="nil"/>
          <w:right w:val="nil"/>
          <w:between w:val="nil"/>
        </w:pBdr>
        <w:tabs>
          <w:tab w:val="left" w:pos="432"/>
          <w:tab w:val="left" w:pos="948"/>
          <w:tab w:val="left" w:pos="4699"/>
        </w:tabs>
        <w:spacing w:after="120" w:line="360" w:lineRule="auto"/>
        <w:jc w:val="both"/>
        <w:rPr>
          <w:rFonts w:ascii="Arial" w:eastAsia="Arial" w:hAnsi="Arial" w:cs="Arial"/>
          <w:color w:val="010000"/>
          <w:sz w:val="20"/>
          <w:szCs w:val="20"/>
        </w:rPr>
      </w:pPr>
      <w:r>
        <w:rPr>
          <w:rFonts w:ascii="Arial" w:hAnsi="Arial"/>
          <w:color w:val="010000"/>
          <w:sz w:val="20"/>
        </w:rPr>
        <w:t>Revenue: VND1,189 billion;</w:t>
      </w:r>
    </w:p>
    <w:p w14:paraId="3E243666" w14:textId="77777777" w:rsidR="005705DA" w:rsidRDefault="00E057D0" w:rsidP="00BC5F12">
      <w:pPr>
        <w:numPr>
          <w:ilvl w:val="0"/>
          <w:numId w:val="8"/>
        </w:numPr>
        <w:pBdr>
          <w:top w:val="nil"/>
          <w:left w:val="nil"/>
          <w:bottom w:val="nil"/>
          <w:right w:val="nil"/>
          <w:between w:val="nil"/>
        </w:pBdr>
        <w:tabs>
          <w:tab w:val="left" w:pos="432"/>
          <w:tab w:val="left" w:pos="952"/>
          <w:tab w:val="left" w:pos="4903"/>
        </w:tabs>
        <w:spacing w:after="120" w:line="360" w:lineRule="auto"/>
        <w:jc w:val="both"/>
        <w:rPr>
          <w:rFonts w:ascii="Arial" w:eastAsia="Arial" w:hAnsi="Arial" w:cs="Arial"/>
          <w:color w:val="010000"/>
          <w:sz w:val="20"/>
          <w:szCs w:val="20"/>
        </w:rPr>
      </w:pPr>
      <w:r>
        <w:rPr>
          <w:rFonts w:ascii="Arial" w:hAnsi="Arial"/>
          <w:color w:val="010000"/>
          <w:sz w:val="20"/>
        </w:rPr>
        <w:t>Profit after tax: VND202 billion;</w:t>
      </w:r>
    </w:p>
    <w:p w14:paraId="0E47B44F" w14:textId="77777777" w:rsidR="005705DA" w:rsidRDefault="00E057D0" w:rsidP="00BC5F12">
      <w:pPr>
        <w:numPr>
          <w:ilvl w:val="0"/>
          <w:numId w:val="8"/>
        </w:numPr>
        <w:pBdr>
          <w:top w:val="nil"/>
          <w:left w:val="nil"/>
          <w:bottom w:val="nil"/>
          <w:right w:val="nil"/>
          <w:between w:val="nil"/>
        </w:pBdr>
        <w:tabs>
          <w:tab w:val="left" w:pos="432"/>
          <w:tab w:val="left" w:pos="952"/>
          <w:tab w:val="left" w:pos="5115"/>
        </w:tabs>
        <w:spacing w:after="120" w:line="360" w:lineRule="auto"/>
        <w:jc w:val="both"/>
        <w:rPr>
          <w:rFonts w:ascii="Arial" w:eastAsia="Arial" w:hAnsi="Arial" w:cs="Arial"/>
          <w:color w:val="010000"/>
          <w:sz w:val="20"/>
          <w:szCs w:val="20"/>
        </w:rPr>
      </w:pPr>
      <w:r>
        <w:rPr>
          <w:rFonts w:ascii="Arial" w:hAnsi="Arial"/>
          <w:color w:val="010000"/>
          <w:sz w:val="20"/>
        </w:rPr>
        <w:t>Dividend: 5.2% of the charter capital.</w:t>
      </w:r>
    </w:p>
    <w:p w14:paraId="6FDCF896" w14:textId="77777777" w:rsidR="005705DA" w:rsidRDefault="00E057D0" w:rsidP="00BC5F12">
      <w:pPr>
        <w:numPr>
          <w:ilvl w:val="0"/>
          <w:numId w:val="1"/>
        </w:numPr>
        <w:pBdr>
          <w:top w:val="nil"/>
          <w:left w:val="nil"/>
          <w:bottom w:val="nil"/>
          <w:right w:val="nil"/>
          <w:between w:val="nil"/>
        </w:pBdr>
        <w:tabs>
          <w:tab w:val="left" w:pos="432"/>
          <w:tab w:val="left" w:pos="1046"/>
        </w:tabs>
        <w:spacing w:after="120" w:line="360" w:lineRule="auto"/>
        <w:jc w:val="both"/>
        <w:rPr>
          <w:rFonts w:ascii="Arial" w:eastAsia="Arial" w:hAnsi="Arial" w:cs="Arial"/>
          <w:color w:val="010000"/>
          <w:sz w:val="20"/>
          <w:szCs w:val="20"/>
        </w:rPr>
      </w:pPr>
      <w:r>
        <w:rPr>
          <w:rFonts w:ascii="Arial" w:hAnsi="Arial"/>
          <w:color w:val="010000"/>
          <w:sz w:val="20"/>
        </w:rPr>
        <w:t>Consolidated production and business plan for 2024 of the Corporation:</w:t>
      </w:r>
    </w:p>
    <w:p w14:paraId="0B39940C" w14:textId="77777777" w:rsidR="005705DA" w:rsidRDefault="00E057D0" w:rsidP="00BC5F12">
      <w:pPr>
        <w:numPr>
          <w:ilvl w:val="0"/>
          <w:numId w:val="8"/>
        </w:numPr>
        <w:pBdr>
          <w:top w:val="nil"/>
          <w:left w:val="nil"/>
          <w:bottom w:val="nil"/>
          <w:right w:val="nil"/>
          <w:between w:val="nil"/>
        </w:pBdr>
        <w:tabs>
          <w:tab w:val="left" w:pos="432"/>
          <w:tab w:val="left" w:pos="952"/>
          <w:tab w:val="left" w:pos="4699"/>
        </w:tabs>
        <w:spacing w:after="120" w:line="360" w:lineRule="auto"/>
        <w:jc w:val="both"/>
        <w:rPr>
          <w:rFonts w:ascii="Arial" w:eastAsia="Arial" w:hAnsi="Arial" w:cs="Arial"/>
          <w:color w:val="010000"/>
          <w:sz w:val="20"/>
          <w:szCs w:val="20"/>
        </w:rPr>
      </w:pPr>
      <w:r>
        <w:rPr>
          <w:rFonts w:ascii="Arial" w:hAnsi="Arial"/>
          <w:color w:val="010000"/>
          <w:sz w:val="20"/>
        </w:rPr>
        <w:t>Consolidated revenue: VND1,1991 billion;</w:t>
      </w:r>
    </w:p>
    <w:p w14:paraId="3AF14615" w14:textId="77777777" w:rsidR="005705DA" w:rsidRDefault="00E057D0" w:rsidP="00BC5F12">
      <w:pPr>
        <w:numPr>
          <w:ilvl w:val="0"/>
          <w:numId w:val="8"/>
        </w:numPr>
        <w:pBdr>
          <w:top w:val="nil"/>
          <w:left w:val="nil"/>
          <w:bottom w:val="nil"/>
          <w:right w:val="nil"/>
          <w:between w:val="nil"/>
        </w:pBdr>
        <w:tabs>
          <w:tab w:val="left" w:pos="432"/>
          <w:tab w:val="left" w:pos="952"/>
          <w:tab w:val="left" w:pos="4903"/>
        </w:tabs>
        <w:spacing w:after="120" w:line="360" w:lineRule="auto"/>
        <w:jc w:val="both"/>
        <w:rPr>
          <w:rFonts w:ascii="Arial" w:eastAsia="Arial" w:hAnsi="Arial" w:cs="Arial"/>
          <w:color w:val="010000"/>
          <w:sz w:val="20"/>
          <w:szCs w:val="20"/>
        </w:rPr>
      </w:pPr>
      <w:r>
        <w:rPr>
          <w:rFonts w:ascii="Arial" w:hAnsi="Arial"/>
          <w:color w:val="010000"/>
          <w:sz w:val="20"/>
        </w:rPr>
        <w:t>Consolidated profit after tax: VND1,317 billion;</w:t>
      </w:r>
    </w:p>
    <w:p w14:paraId="551A7689" w14:textId="77777777" w:rsidR="005705DA" w:rsidRDefault="00E057D0" w:rsidP="00BC5F12">
      <w:pPr>
        <w:numPr>
          <w:ilvl w:val="0"/>
          <w:numId w:val="1"/>
        </w:numPr>
        <w:pBdr>
          <w:top w:val="nil"/>
          <w:left w:val="nil"/>
          <w:bottom w:val="nil"/>
          <w:right w:val="nil"/>
          <w:between w:val="nil"/>
        </w:pBdr>
        <w:tabs>
          <w:tab w:val="left" w:pos="432"/>
          <w:tab w:val="left" w:pos="1046"/>
        </w:tabs>
        <w:spacing w:after="120" w:line="360" w:lineRule="auto"/>
        <w:jc w:val="both"/>
        <w:rPr>
          <w:rFonts w:ascii="Arial" w:eastAsia="Arial" w:hAnsi="Arial" w:cs="Arial"/>
          <w:color w:val="010000"/>
          <w:sz w:val="20"/>
          <w:szCs w:val="20"/>
        </w:rPr>
      </w:pPr>
      <w:r>
        <w:rPr>
          <w:rFonts w:ascii="Arial" w:hAnsi="Arial"/>
          <w:color w:val="010000"/>
          <w:sz w:val="20"/>
        </w:rPr>
        <w:t>Silviculture plan:</w:t>
      </w:r>
    </w:p>
    <w:p w14:paraId="7342369D" w14:textId="1CA93A1D" w:rsidR="005705DA" w:rsidRDefault="00E057D0" w:rsidP="00BC5F12">
      <w:pPr>
        <w:numPr>
          <w:ilvl w:val="0"/>
          <w:numId w:val="8"/>
        </w:numPr>
        <w:pBdr>
          <w:top w:val="nil"/>
          <w:left w:val="nil"/>
          <w:bottom w:val="nil"/>
          <w:right w:val="nil"/>
          <w:between w:val="nil"/>
        </w:pBdr>
        <w:tabs>
          <w:tab w:val="left" w:pos="432"/>
          <w:tab w:val="left" w:pos="948"/>
          <w:tab w:val="left" w:pos="4699"/>
        </w:tabs>
        <w:spacing w:after="120" w:line="360" w:lineRule="auto"/>
        <w:jc w:val="both"/>
        <w:rPr>
          <w:rFonts w:ascii="Arial" w:eastAsia="Arial" w:hAnsi="Arial" w:cs="Arial"/>
          <w:color w:val="010000"/>
          <w:sz w:val="20"/>
          <w:szCs w:val="20"/>
        </w:rPr>
      </w:pPr>
      <w:r>
        <w:rPr>
          <w:rFonts w:ascii="Arial" w:hAnsi="Arial"/>
          <w:color w:val="010000"/>
          <w:sz w:val="20"/>
        </w:rPr>
        <w:t xml:space="preserve">Create new forest </w:t>
      </w:r>
      <w:r w:rsidR="00655748">
        <w:rPr>
          <w:rFonts w:ascii="Arial" w:hAnsi="Arial"/>
          <w:color w:val="010000"/>
          <w:sz w:val="20"/>
        </w:rPr>
        <w:t>(the 1</w:t>
      </w:r>
      <w:r w:rsidR="00655748" w:rsidRPr="00655748">
        <w:rPr>
          <w:rFonts w:ascii="Arial" w:hAnsi="Arial"/>
          <w:color w:val="010000"/>
          <w:sz w:val="20"/>
          <w:vertAlign w:val="superscript"/>
        </w:rPr>
        <w:t>st</w:t>
      </w:r>
      <w:r w:rsidR="00655748">
        <w:rPr>
          <w:rFonts w:ascii="Arial" w:hAnsi="Arial"/>
          <w:color w:val="010000"/>
          <w:sz w:val="20"/>
        </w:rPr>
        <w:t xml:space="preserve"> year)</w:t>
      </w:r>
      <w:r>
        <w:rPr>
          <w:rFonts w:ascii="Arial" w:hAnsi="Arial"/>
          <w:color w:val="010000"/>
          <w:sz w:val="20"/>
        </w:rPr>
        <w:t>: 2,901 ha;</w:t>
      </w:r>
    </w:p>
    <w:p w14:paraId="4E3624DD" w14:textId="77777777" w:rsidR="005705DA" w:rsidRDefault="00E057D0" w:rsidP="00BC5F12">
      <w:pPr>
        <w:numPr>
          <w:ilvl w:val="0"/>
          <w:numId w:val="8"/>
        </w:numPr>
        <w:pBdr>
          <w:top w:val="nil"/>
          <w:left w:val="nil"/>
          <w:bottom w:val="nil"/>
          <w:right w:val="nil"/>
          <w:between w:val="nil"/>
        </w:pBdr>
        <w:tabs>
          <w:tab w:val="left" w:pos="432"/>
          <w:tab w:val="left" w:pos="948"/>
          <w:tab w:val="left" w:pos="4699"/>
        </w:tabs>
        <w:spacing w:after="120" w:line="360" w:lineRule="auto"/>
        <w:jc w:val="both"/>
        <w:rPr>
          <w:rFonts w:ascii="Arial" w:eastAsia="Arial" w:hAnsi="Arial" w:cs="Arial"/>
          <w:color w:val="010000"/>
          <w:sz w:val="20"/>
          <w:szCs w:val="20"/>
        </w:rPr>
      </w:pPr>
      <w:r>
        <w:rPr>
          <w:rFonts w:ascii="Arial" w:hAnsi="Arial"/>
          <w:color w:val="010000"/>
          <w:sz w:val="20"/>
        </w:rPr>
        <w:t>Timber exploitation from planted forests: 2,665 ha.</w:t>
      </w:r>
    </w:p>
    <w:p w14:paraId="0E3107A2" w14:textId="77777777" w:rsidR="005705DA" w:rsidRDefault="00E057D0" w:rsidP="00BC5F12">
      <w:pPr>
        <w:numPr>
          <w:ilvl w:val="0"/>
          <w:numId w:val="1"/>
        </w:numPr>
        <w:pBdr>
          <w:top w:val="nil"/>
          <w:left w:val="nil"/>
          <w:bottom w:val="nil"/>
          <w:right w:val="nil"/>
          <w:between w:val="nil"/>
        </w:pBdr>
        <w:tabs>
          <w:tab w:val="left" w:pos="432"/>
          <w:tab w:val="left" w:pos="1042"/>
        </w:tabs>
        <w:spacing w:after="120" w:line="360" w:lineRule="auto"/>
        <w:jc w:val="both"/>
        <w:rPr>
          <w:rFonts w:ascii="Arial" w:eastAsia="Arial" w:hAnsi="Arial" w:cs="Arial"/>
          <w:color w:val="010000"/>
          <w:sz w:val="20"/>
          <w:szCs w:val="20"/>
        </w:rPr>
      </w:pPr>
      <w:r>
        <w:rPr>
          <w:rFonts w:ascii="Arial" w:hAnsi="Arial"/>
          <w:color w:val="010000"/>
          <w:sz w:val="20"/>
        </w:rPr>
        <w:t>investment and development plan for 2024 of the Corporation:</w:t>
      </w:r>
    </w:p>
    <w:p w14:paraId="09FE810F" w14:textId="77777777" w:rsidR="005705DA" w:rsidRDefault="00E057D0" w:rsidP="00BC5F12">
      <w:pPr>
        <w:numPr>
          <w:ilvl w:val="0"/>
          <w:numId w:val="8"/>
        </w:numPr>
        <w:pBdr>
          <w:top w:val="nil"/>
          <w:left w:val="nil"/>
          <w:bottom w:val="nil"/>
          <w:right w:val="nil"/>
          <w:between w:val="nil"/>
        </w:pBdr>
        <w:tabs>
          <w:tab w:val="left" w:pos="432"/>
          <w:tab w:val="left" w:pos="932"/>
        </w:tabs>
        <w:spacing w:after="120" w:line="360" w:lineRule="auto"/>
        <w:jc w:val="both"/>
        <w:rPr>
          <w:rFonts w:ascii="Arial" w:eastAsia="Arial" w:hAnsi="Arial" w:cs="Arial"/>
          <w:color w:val="010000"/>
          <w:sz w:val="20"/>
          <w:szCs w:val="20"/>
        </w:rPr>
      </w:pPr>
      <w:r>
        <w:rPr>
          <w:rFonts w:ascii="Arial" w:hAnsi="Arial"/>
          <w:color w:val="010000"/>
          <w:sz w:val="20"/>
        </w:rPr>
        <w:t>Number of projects: 5 Projects with total expected investment of VND743 billion, in which, the expected investment value of the Corporation is VND505 billion.</w:t>
      </w:r>
    </w:p>
    <w:p w14:paraId="03A9E090" w14:textId="77777777" w:rsidR="005705DA" w:rsidRDefault="00E057D0" w:rsidP="00BC5F12">
      <w:pPr>
        <w:numPr>
          <w:ilvl w:val="0"/>
          <w:numId w:val="8"/>
        </w:numPr>
        <w:pBdr>
          <w:top w:val="nil"/>
          <w:left w:val="nil"/>
          <w:bottom w:val="nil"/>
          <w:right w:val="nil"/>
          <w:between w:val="nil"/>
        </w:pBdr>
        <w:tabs>
          <w:tab w:val="left" w:pos="432"/>
          <w:tab w:val="left" w:pos="952"/>
        </w:tabs>
        <w:spacing w:after="120" w:line="360" w:lineRule="auto"/>
        <w:jc w:val="both"/>
        <w:rPr>
          <w:rFonts w:ascii="Arial" w:eastAsia="Arial" w:hAnsi="Arial" w:cs="Arial"/>
          <w:color w:val="010000"/>
          <w:sz w:val="20"/>
          <w:szCs w:val="20"/>
        </w:rPr>
      </w:pPr>
      <w:r>
        <w:rPr>
          <w:rFonts w:ascii="Arial" w:hAnsi="Arial"/>
          <w:color w:val="010000"/>
          <w:sz w:val="20"/>
        </w:rPr>
        <w:t>Expected disbursement value of the Corporation in 2024: VND122 billion;</w:t>
      </w:r>
    </w:p>
    <w:p w14:paraId="2718AC10" w14:textId="7777777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targets of plan on production and business, investment and development mentioned above do not take into account objective and force majeure factors incurring in 2024)</w:t>
      </w:r>
    </w:p>
    <w:p w14:paraId="788D9AAE" w14:textId="7E017601"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in case of objective or force majeure factors incurring that affect the planned targets 2024 by 5% or more compared to the planned targets mentioned above, the </w:t>
      </w:r>
      <w:r w:rsidR="00BC5F12">
        <w:rPr>
          <w:rFonts w:ascii="Arial" w:hAnsi="Arial"/>
          <w:color w:val="010000"/>
          <w:sz w:val="20"/>
        </w:rPr>
        <w:t>General Meeting</w:t>
      </w:r>
      <w:r>
        <w:rPr>
          <w:rFonts w:ascii="Arial" w:hAnsi="Arial"/>
          <w:color w:val="010000"/>
          <w:sz w:val="20"/>
        </w:rPr>
        <w:t xml:space="preserve"> authorized the Board of Directors to decide on adjusting the plan and reporting at the most recent </w:t>
      </w:r>
      <w:r w:rsidR="00BC5F12">
        <w:rPr>
          <w:rFonts w:ascii="Arial" w:hAnsi="Arial"/>
          <w:color w:val="010000"/>
          <w:sz w:val="20"/>
        </w:rPr>
        <w:t>General Meeting</w:t>
      </w:r>
      <w:r>
        <w:rPr>
          <w:rFonts w:ascii="Arial" w:hAnsi="Arial"/>
          <w:color w:val="010000"/>
          <w:sz w:val="20"/>
        </w:rPr>
        <w:t>.</w:t>
      </w:r>
    </w:p>
    <w:p w14:paraId="6B74003E" w14:textId="7702AA0A"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3. Approve the Report of</w:t>
      </w:r>
      <w:r w:rsidR="00BC5F12">
        <w:rPr>
          <w:rFonts w:ascii="Arial" w:hAnsi="Arial"/>
          <w:color w:val="010000"/>
          <w:sz w:val="20"/>
        </w:rPr>
        <w:t xml:space="preserve"> the Board of Directors on operating results in 2023 and </w:t>
      </w:r>
      <w:r>
        <w:rPr>
          <w:rFonts w:ascii="Arial" w:hAnsi="Arial"/>
          <w:color w:val="010000"/>
          <w:sz w:val="20"/>
        </w:rPr>
        <w:t>plan on activities in 2024.</w:t>
      </w:r>
    </w:p>
    <w:tbl>
      <w:tblPr>
        <w:tblStyle w:val="a"/>
        <w:tblW w:w="90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1"/>
        <w:gridCol w:w="2765"/>
        <w:gridCol w:w="1062"/>
        <w:gridCol w:w="948"/>
        <w:gridCol w:w="945"/>
        <w:gridCol w:w="1224"/>
        <w:gridCol w:w="1364"/>
      </w:tblGrid>
      <w:tr w:rsidR="005705DA" w14:paraId="21E4163E" w14:textId="77777777">
        <w:tc>
          <w:tcPr>
            <w:tcW w:w="722" w:type="dxa"/>
            <w:shd w:val="clear" w:color="auto" w:fill="auto"/>
            <w:tcMar>
              <w:top w:w="0" w:type="dxa"/>
              <w:bottom w:w="0" w:type="dxa"/>
            </w:tcMar>
            <w:vAlign w:val="center"/>
          </w:tcPr>
          <w:p w14:paraId="5C3A2E40" w14:textId="7777777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No.</w:t>
            </w:r>
          </w:p>
        </w:tc>
        <w:tc>
          <w:tcPr>
            <w:tcW w:w="2765" w:type="dxa"/>
            <w:shd w:val="clear" w:color="auto" w:fill="auto"/>
            <w:tcMar>
              <w:top w:w="0" w:type="dxa"/>
              <w:bottom w:w="0" w:type="dxa"/>
            </w:tcMar>
            <w:vAlign w:val="center"/>
          </w:tcPr>
          <w:p w14:paraId="3F0D4476" w14:textId="7777777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Targets</w:t>
            </w:r>
          </w:p>
        </w:tc>
        <w:tc>
          <w:tcPr>
            <w:tcW w:w="1062" w:type="dxa"/>
            <w:shd w:val="clear" w:color="auto" w:fill="auto"/>
            <w:tcMar>
              <w:top w:w="0" w:type="dxa"/>
              <w:bottom w:w="0" w:type="dxa"/>
            </w:tcMar>
            <w:vAlign w:val="center"/>
          </w:tcPr>
          <w:p w14:paraId="7B083C54" w14:textId="7777777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Unit</w:t>
            </w:r>
          </w:p>
        </w:tc>
        <w:tc>
          <w:tcPr>
            <w:tcW w:w="948" w:type="dxa"/>
            <w:shd w:val="clear" w:color="auto" w:fill="auto"/>
            <w:tcMar>
              <w:top w:w="0" w:type="dxa"/>
              <w:bottom w:w="0" w:type="dxa"/>
            </w:tcMar>
            <w:vAlign w:val="center"/>
          </w:tcPr>
          <w:p w14:paraId="05FF5E14" w14:textId="7777777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Plan 2023</w:t>
            </w:r>
          </w:p>
        </w:tc>
        <w:tc>
          <w:tcPr>
            <w:tcW w:w="945" w:type="dxa"/>
            <w:shd w:val="clear" w:color="auto" w:fill="auto"/>
            <w:tcMar>
              <w:top w:w="0" w:type="dxa"/>
              <w:bottom w:w="0" w:type="dxa"/>
            </w:tcMar>
            <w:vAlign w:val="center"/>
          </w:tcPr>
          <w:p w14:paraId="30C8C69C" w14:textId="7777777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Results 2023</w:t>
            </w:r>
          </w:p>
        </w:tc>
        <w:tc>
          <w:tcPr>
            <w:tcW w:w="1224" w:type="dxa"/>
            <w:shd w:val="clear" w:color="auto" w:fill="auto"/>
            <w:tcMar>
              <w:top w:w="0" w:type="dxa"/>
              <w:bottom w:w="0" w:type="dxa"/>
            </w:tcMar>
            <w:vAlign w:val="center"/>
          </w:tcPr>
          <w:p w14:paraId="217821FF" w14:textId="7777777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 compared to the Plan </w:t>
            </w:r>
            <w:r>
              <w:rPr>
                <w:rFonts w:ascii="Arial" w:hAnsi="Arial"/>
                <w:color w:val="010000"/>
                <w:sz w:val="20"/>
              </w:rPr>
              <w:lastRenderedPageBreak/>
              <w:t>2023</w:t>
            </w:r>
          </w:p>
        </w:tc>
        <w:tc>
          <w:tcPr>
            <w:tcW w:w="1364" w:type="dxa"/>
            <w:shd w:val="clear" w:color="auto" w:fill="auto"/>
            <w:tcMar>
              <w:top w:w="0" w:type="dxa"/>
              <w:bottom w:w="0" w:type="dxa"/>
            </w:tcMar>
            <w:vAlign w:val="center"/>
          </w:tcPr>
          <w:p w14:paraId="18BCE684" w14:textId="7777777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lastRenderedPageBreak/>
              <w:t xml:space="preserve">% compared to that in the </w:t>
            </w:r>
            <w:r>
              <w:rPr>
                <w:rFonts w:ascii="Arial" w:hAnsi="Arial"/>
                <w:color w:val="010000"/>
                <w:sz w:val="20"/>
              </w:rPr>
              <w:lastRenderedPageBreak/>
              <w:t>previous year</w:t>
            </w:r>
          </w:p>
        </w:tc>
      </w:tr>
      <w:tr w:rsidR="005705DA" w14:paraId="48A2ED6C" w14:textId="77777777">
        <w:tc>
          <w:tcPr>
            <w:tcW w:w="722" w:type="dxa"/>
            <w:shd w:val="clear" w:color="auto" w:fill="auto"/>
            <w:tcMar>
              <w:top w:w="0" w:type="dxa"/>
              <w:bottom w:w="0" w:type="dxa"/>
            </w:tcMar>
            <w:vAlign w:val="center"/>
          </w:tcPr>
          <w:p w14:paraId="46361C85" w14:textId="7777777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lastRenderedPageBreak/>
              <w:t>I</w:t>
            </w:r>
          </w:p>
        </w:tc>
        <w:tc>
          <w:tcPr>
            <w:tcW w:w="8308" w:type="dxa"/>
            <w:gridSpan w:val="6"/>
            <w:shd w:val="clear" w:color="auto" w:fill="auto"/>
            <w:tcMar>
              <w:top w:w="0" w:type="dxa"/>
              <w:bottom w:w="0" w:type="dxa"/>
            </w:tcMar>
            <w:vAlign w:val="center"/>
          </w:tcPr>
          <w:p w14:paraId="24F0E58C" w14:textId="7777777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Holding Company</w:t>
            </w:r>
          </w:p>
        </w:tc>
      </w:tr>
      <w:tr w:rsidR="005705DA" w14:paraId="58955F48" w14:textId="77777777">
        <w:tc>
          <w:tcPr>
            <w:tcW w:w="722" w:type="dxa"/>
            <w:shd w:val="clear" w:color="auto" w:fill="auto"/>
            <w:tcMar>
              <w:top w:w="0" w:type="dxa"/>
              <w:bottom w:w="0" w:type="dxa"/>
            </w:tcMar>
            <w:vAlign w:val="center"/>
          </w:tcPr>
          <w:p w14:paraId="2D7B1F9A" w14:textId="7777777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w:t>
            </w:r>
          </w:p>
        </w:tc>
        <w:tc>
          <w:tcPr>
            <w:tcW w:w="2765" w:type="dxa"/>
            <w:shd w:val="clear" w:color="auto" w:fill="auto"/>
            <w:tcMar>
              <w:top w:w="0" w:type="dxa"/>
              <w:bottom w:w="0" w:type="dxa"/>
            </w:tcMar>
            <w:vAlign w:val="center"/>
          </w:tcPr>
          <w:p w14:paraId="677828D7" w14:textId="7777777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Total revenue</w:t>
            </w:r>
          </w:p>
        </w:tc>
        <w:tc>
          <w:tcPr>
            <w:tcW w:w="1062" w:type="dxa"/>
            <w:shd w:val="clear" w:color="auto" w:fill="auto"/>
            <w:tcMar>
              <w:top w:w="0" w:type="dxa"/>
              <w:bottom w:w="0" w:type="dxa"/>
            </w:tcMar>
            <w:vAlign w:val="center"/>
          </w:tcPr>
          <w:p w14:paraId="07C3AE67" w14:textId="7777777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Billion VND</w:t>
            </w:r>
          </w:p>
        </w:tc>
        <w:tc>
          <w:tcPr>
            <w:tcW w:w="948" w:type="dxa"/>
            <w:shd w:val="clear" w:color="auto" w:fill="auto"/>
            <w:tcMar>
              <w:top w:w="0" w:type="dxa"/>
              <w:bottom w:w="0" w:type="dxa"/>
            </w:tcMar>
            <w:vAlign w:val="center"/>
          </w:tcPr>
          <w:p w14:paraId="79066747" w14:textId="7777777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1,452</w:t>
            </w:r>
          </w:p>
        </w:tc>
        <w:tc>
          <w:tcPr>
            <w:tcW w:w="945" w:type="dxa"/>
            <w:shd w:val="clear" w:color="auto" w:fill="auto"/>
            <w:tcMar>
              <w:top w:w="0" w:type="dxa"/>
              <w:bottom w:w="0" w:type="dxa"/>
            </w:tcMar>
            <w:vAlign w:val="center"/>
          </w:tcPr>
          <w:p w14:paraId="05B50209" w14:textId="7777777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1,407</w:t>
            </w:r>
          </w:p>
        </w:tc>
        <w:tc>
          <w:tcPr>
            <w:tcW w:w="1224" w:type="dxa"/>
            <w:shd w:val="clear" w:color="auto" w:fill="auto"/>
            <w:tcMar>
              <w:top w:w="0" w:type="dxa"/>
              <w:bottom w:w="0" w:type="dxa"/>
            </w:tcMar>
            <w:vAlign w:val="center"/>
          </w:tcPr>
          <w:p w14:paraId="0C1BD4D6" w14:textId="7777777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97%</w:t>
            </w:r>
          </w:p>
        </w:tc>
        <w:tc>
          <w:tcPr>
            <w:tcW w:w="1364" w:type="dxa"/>
            <w:shd w:val="clear" w:color="auto" w:fill="auto"/>
            <w:tcMar>
              <w:top w:w="0" w:type="dxa"/>
              <w:bottom w:w="0" w:type="dxa"/>
            </w:tcMar>
            <w:vAlign w:val="center"/>
          </w:tcPr>
          <w:p w14:paraId="22C0C6BF" w14:textId="7777777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98%</w:t>
            </w:r>
          </w:p>
        </w:tc>
      </w:tr>
      <w:tr w:rsidR="005705DA" w14:paraId="4E32BC3D" w14:textId="77777777">
        <w:tc>
          <w:tcPr>
            <w:tcW w:w="722" w:type="dxa"/>
            <w:shd w:val="clear" w:color="auto" w:fill="auto"/>
            <w:tcMar>
              <w:top w:w="0" w:type="dxa"/>
              <w:bottom w:w="0" w:type="dxa"/>
            </w:tcMar>
            <w:vAlign w:val="center"/>
          </w:tcPr>
          <w:p w14:paraId="75753B73" w14:textId="7777777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w:t>
            </w:r>
          </w:p>
        </w:tc>
        <w:tc>
          <w:tcPr>
            <w:tcW w:w="2765" w:type="dxa"/>
            <w:shd w:val="clear" w:color="auto" w:fill="auto"/>
            <w:tcMar>
              <w:top w:w="0" w:type="dxa"/>
              <w:bottom w:w="0" w:type="dxa"/>
            </w:tcMar>
            <w:vAlign w:val="center"/>
          </w:tcPr>
          <w:p w14:paraId="2D769301" w14:textId="7777777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Profit after tax</w:t>
            </w:r>
          </w:p>
        </w:tc>
        <w:tc>
          <w:tcPr>
            <w:tcW w:w="1062" w:type="dxa"/>
            <w:shd w:val="clear" w:color="auto" w:fill="auto"/>
            <w:tcMar>
              <w:top w:w="0" w:type="dxa"/>
              <w:bottom w:w="0" w:type="dxa"/>
            </w:tcMar>
            <w:vAlign w:val="center"/>
          </w:tcPr>
          <w:p w14:paraId="38F25A51" w14:textId="7777777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Billion VND</w:t>
            </w:r>
          </w:p>
        </w:tc>
        <w:tc>
          <w:tcPr>
            <w:tcW w:w="948" w:type="dxa"/>
            <w:shd w:val="clear" w:color="auto" w:fill="auto"/>
            <w:tcMar>
              <w:top w:w="0" w:type="dxa"/>
              <w:bottom w:w="0" w:type="dxa"/>
            </w:tcMar>
            <w:vAlign w:val="center"/>
          </w:tcPr>
          <w:p w14:paraId="447F9DCE" w14:textId="7777777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336</w:t>
            </w:r>
          </w:p>
        </w:tc>
        <w:tc>
          <w:tcPr>
            <w:tcW w:w="945" w:type="dxa"/>
            <w:shd w:val="clear" w:color="auto" w:fill="auto"/>
            <w:tcMar>
              <w:top w:w="0" w:type="dxa"/>
              <w:bottom w:w="0" w:type="dxa"/>
            </w:tcMar>
            <w:vAlign w:val="center"/>
          </w:tcPr>
          <w:p w14:paraId="6ED5D381" w14:textId="7777777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350</w:t>
            </w:r>
          </w:p>
        </w:tc>
        <w:tc>
          <w:tcPr>
            <w:tcW w:w="1224" w:type="dxa"/>
            <w:shd w:val="clear" w:color="auto" w:fill="auto"/>
            <w:tcMar>
              <w:top w:w="0" w:type="dxa"/>
              <w:bottom w:w="0" w:type="dxa"/>
            </w:tcMar>
            <w:vAlign w:val="center"/>
          </w:tcPr>
          <w:p w14:paraId="1C1FFCBE" w14:textId="7777777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104%</w:t>
            </w:r>
          </w:p>
        </w:tc>
        <w:tc>
          <w:tcPr>
            <w:tcW w:w="1364" w:type="dxa"/>
            <w:shd w:val="clear" w:color="auto" w:fill="auto"/>
            <w:tcMar>
              <w:top w:w="0" w:type="dxa"/>
              <w:bottom w:w="0" w:type="dxa"/>
            </w:tcMar>
            <w:vAlign w:val="center"/>
          </w:tcPr>
          <w:p w14:paraId="122FC8B0" w14:textId="7777777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106%</w:t>
            </w:r>
          </w:p>
        </w:tc>
      </w:tr>
      <w:tr w:rsidR="005705DA" w14:paraId="73EBF1DD" w14:textId="77777777">
        <w:tc>
          <w:tcPr>
            <w:tcW w:w="722" w:type="dxa"/>
            <w:shd w:val="clear" w:color="auto" w:fill="auto"/>
            <w:tcMar>
              <w:top w:w="0" w:type="dxa"/>
              <w:bottom w:w="0" w:type="dxa"/>
            </w:tcMar>
            <w:vAlign w:val="center"/>
          </w:tcPr>
          <w:p w14:paraId="0B6C41C3" w14:textId="77777777" w:rsidR="005705DA" w:rsidRDefault="005705DA" w:rsidP="00BC5F12">
            <w:pPr>
              <w:tabs>
                <w:tab w:val="left" w:pos="432"/>
              </w:tabs>
              <w:spacing w:after="120" w:line="360" w:lineRule="auto"/>
              <w:jc w:val="both"/>
              <w:rPr>
                <w:rFonts w:ascii="Arial" w:eastAsia="Arial" w:hAnsi="Arial" w:cs="Arial"/>
                <w:color w:val="010000"/>
                <w:sz w:val="20"/>
                <w:szCs w:val="20"/>
              </w:rPr>
            </w:pPr>
          </w:p>
        </w:tc>
        <w:tc>
          <w:tcPr>
            <w:tcW w:w="2765" w:type="dxa"/>
            <w:shd w:val="clear" w:color="auto" w:fill="auto"/>
            <w:tcMar>
              <w:top w:w="0" w:type="dxa"/>
              <w:bottom w:w="0" w:type="dxa"/>
            </w:tcMar>
            <w:vAlign w:val="center"/>
          </w:tcPr>
          <w:p w14:paraId="532381E6" w14:textId="7777777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Profit after tax/Average owners’ equity rate</w:t>
            </w:r>
          </w:p>
        </w:tc>
        <w:tc>
          <w:tcPr>
            <w:tcW w:w="1062" w:type="dxa"/>
            <w:shd w:val="clear" w:color="auto" w:fill="auto"/>
            <w:tcMar>
              <w:top w:w="0" w:type="dxa"/>
              <w:bottom w:w="0" w:type="dxa"/>
            </w:tcMar>
            <w:vAlign w:val="center"/>
          </w:tcPr>
          <w:p w14:paraId="143B26E7" w14:textId="7777777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w:t>
            </w:r>
          </w:p>
        </w:tc>
        <w:tc>
          <w:tcPr>
            <w:tcW w:w="948" w:type="dxa"/>
            <w:shd w:val="clear" w:color="auto" w:fill="auto"/>
            <w:tcMar>
              <w:top w:w="0" w:type="dxa"/>
              <w:bottom w:w="0" w:type="dxa"/>
            </w:tcMar>
            <w:vAlign w:val="center"/>
          </w:tcPr>
          <w:p w14:paraId="3C50374C" w14:textId="7777777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8.5</w:t>
            </w:r>
          </w:p>
        </w:tc>
        <w:tc>
          <w:tcPr>
            <w:tcW w:w="945" w:type="dxa"/>
            <w:shd w:val="clear" w:color="auto" w:fill="auto"/>
            <w:tcMar>
              <w:top w:w="0" w:type="dxa"/>
              <w:bottom w:w="0" w:type="dxa"/>
            </w:tcMar>
            <w:vAlign w:val="center"/>
          </w:tcPr>
          <w:p w14:paraId="6C662E1B" w14:textId="7777777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8.75</w:t>
            </w:r>
          </w:p>
        </w:tc>
        <w:tc>
          <w:tcPr>
            <w:tcW w:w="1224" w:type="dxa"/>
            <w:shd w:val="clear" w:color="auto" w:fill="auto"/>
            <w:tcMar>
              <w:top w:w="0" w:type="dxa"/>
              <w:bottom w:w="0" w:type="dxa"/>
            </w:tcMar>
            <w:vAlign w:val="center"/>
          </w:tcPr>
          <w:p w14:paraId="2703B74C" w14:textId="7777777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103%</w:t>
            </w:r>
          </w:p>
        </w:tc>
        <w:tc>
          <w:tcPr>
            <w:tcW w:w="1364" w:type="dxa"/>
            <w:shd w:val="clear" w:color="auto" w:fill="auto"/>
            <w:tcMar>
              <w:top w:w="0" w:type="dxa"/>
              <w:bottom w:w="0" w:type="dxa"/>
            </w:tcMar>
            <w:vAlign w:val="center"/>
          </w:tcPr>
          <w:p w14:paraId="549BB141" w14:textId="7777777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 105%</w:t>
            </w:r>
          </w:p>
        </w:tc>
      </w:tr>
      <w:tr w:rsidR="005705DA" w14:paraId="6E3E4607" w14:textId="77777777">
        <w:tc>
          <w:tcPr>
            <w:tcW w:w="722" w:type="dxa"/>
            <w:shd w:val="clear" w:color="auto" w:fill="auto"/>
            <w:tcMar>
              <w:top w:w="0" w:type="dxa"/>
              <w:bottom w:w="0" w:type="dxa"/>
            </w:tcMar>
            <w:vAlign w:val="center"/>
          </w:tcPr>
          <w:p w14:paraId="3DAA90AA" w14:textId="7777777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II</w:t>
            </w:r>
          </w:p>
        </w:tc>
        <w:tc>
          <w:tcPr>
            <w:tcW w:w="8308" w:type="dxa"/>
            <w:gridSpan w:val="6"/>
            <w:shd w:val="clear" w:color="auto" w:fill="auto"/>
            <w:tcMar>
              <w:top w:w="0" w:type="dxa"/>
              <w:bottom w:w="0" w:type="dxa"/>
            </w:tcMar>
            <w:vAlign w:val="center"/>
          </w:tcPr>
          <w:p w14:paraId="537C9A74" w14:textId="7777777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Consolidated of the Corporation</w:t>
            </w:r>
          </w:p>
        </w:tc>
      </w:tr>
      <w:tr w:rsidR="005705DA" w14:paraId="5DE4AA76" w14:textId="77777777">
        <w:tc>
          <w:tcPr>
            <w:tcW w:w="722" w:type="dxa"/>
            <w:shd w:val="clear" w:color="auto" w:fill="auto"/>
            <w:tcMar>
              <w:top w:w="0" w:type="dxa"/>
              <w:bottom w:w="0" w:type="dxa"/>
            </w:tcMar>
            <w:vAlign w:val="center"/>
          </w:tcPr>
          <w:p w14:paraId="66117E57" w14:textId="7777777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w:t>
            </w:r>
          </w:p>
        </w:tc>
        <w:tc>
          <w:tcPr>
            <w:tcW w:w="8308" w:type="dxa"/>
            <w:gridSpan w:val="6"/>
            <w:shd w:val="clear" w:color="auto" w:fill="auto"/>
            <w:tcMar>
              <w:top w:w="0" w:type="dxa"/>
              <w:bottom w:w="0" w:type="dxa"/>
            </w:tcMar>
            <w:vAlign w:val="center"/>
          </w:tcPr>
          <w:p w14:paraId="4828BCED" w14:textId="7777777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Production and business results</w:t>
            </w:r>
          </w:p>
        </w:tc>
      </w:tr>
      <w:tr w:rsidR="005705DA" w14:paraId="39366CF3" w14:textId="77777777">
        <w:tc>
          <w:tcPr>
            <w:tcW w:w="722" w:type="dxa"/>
            <w:shd w:val="clear" w:color="auto" w:fill="auto"/>
            <w:tcMar>
              <w:top w:w="0" w:type="dxa"/>
              <w:bottom w:w="0" w:type="dxa"/>
            </w:tcMar>
            <w:vAlign w:val="center"/>
          </w:tcPr>
          <w:p w14:paraId="286C4CF5" w14:textId="7777777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w:t>
            </w:r>
          </w:p>
        </w:tc>
        <w:tc>
          <w:tcPr>
            <w:tcW w:w="2765" w:type="dxa"/>
            <w:shd w:val="clear" w:color="auto" w:fill="auto"/>
            <w:tcMar>
              <w:top w:w="0" w:type="dxa"/>
              <w:bottom w:w="0" w:type="dxa"/>
            </w:tcMar>
            <w:vAlign w:val="center"/>
          </w:tcPr>
          <w:p w14:paraId="5DD10F8B" w14:textId="7777777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Total revenue</w:t>
            </w:r>
          </w:p>
        </w:tc>
        <w:tc>
          <w:tcPr>
            <w:tcW w:w="1062" w:type="dxa"/>
            <w:shd w:val="clear" w:color="auto" w:fill="auto"/>
            <w:tcMar>
              <w:top w:w="0" w:type="dxa"/>
              <w:bottom w:w="0" w:type="dxa"/>
            </w:tcMar>
            <w:vAlign w:val="center"/>
          </w:tcPr>
          <w:p w14:paraId="384E3EB5" w14:textId="7777777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Billion VND</w:t>
            </w:r>
          </w:p>
        </w:tc>
        <w:tc>
          <w:tcPr>
            <w:tcW w:w="948" w:type="dxa"/>
            <w:shd w:val="clear" w:color="auto" w:fill="auto"/>
            <w:tcMar>
              <w:top w:w="0" w:type="dxa"/>
              <w:bottom w:w="0" w:type="dxa"/>
            </w:tcMar>
            <w:vAlign w:val="center"/>
          </w:tcPr>
          <w:p w14:paraId="2CC87F38" w14:textId="7777777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2,554</w:t>
            </w:r>
          </w:p>
        </w:tc>
        <w:tc>
          <w:tcPr>
            <w:tcW w:w="945" w:type="dxa"/>
            <w:shd w:val="clear" w:color="auto" w:fill="auto"/>
            <w:tcMar>
              <w:top w:w="0" w:type="dxa"/>
              <w:bottom w:w="0" w:type="dxa"/>
            </w:tcMar>
            <w:vAlign w:val="center"/>
          </w:tcPr>
          <w:p w14:paraId="22C55C8A" w14:textId="7777777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2,026</w:t>
            </w:r>
          </w:p>
        </w:tc>
        <w:tc>
          <w:tcPr>
            <w:tcW w:w="1224" w:type="dxa"/>
            <w:shd w:val="clear" w:color="auto" w:fill="auto"/>
            <w:tcMar>
              <w:top w:w="0" w:type="dxa"/>
              <w:bottom w:w="0" w:type="dxa"/>
            </w:tcMar>
            <w:vAlign w:val="center"/>
          </w:tcPr>
          <w:p w14:paraId="087BE1C5" w14:textId="7777777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79%</w:t>
            </w:r>
          </w:p>
        </w:tc>
        <w:tc>
          <w:tcPr>
            <w:tcW w:w="1364" w:type="dxa"/>
            <w:shd w:val="clear" w:color="auto" w:fill="auto"/>
            <w:tcMar>
              <w:top w:w="0" w:type="dxa"/>
              <w:bottom w:w="0" w:type="dxa"/>
            </w:tcMar>
            <w:vAlign w:val="center"/>
          </w:tcPr>
          <w:p w14:paraId="1390E88F" w14:textId="7777777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81%</w:t>
            </w:r>
          </w:p>
        </w:tc>
      </w:tr>
      <w:tr w:rsidR="005705DA" w14:paraId="2BCB11D8" w14:textId="77777777">
        <w:tc>
          <w:tcPr>
            <w:tcW w:w="722" w:type="dxa"/>
            <w:shd w:val="clear" w:color="auto" w:fill="auto"/>
            <w:tcMar>
              <w:top w:w="0" w:type="dxa"/>
              <w:bottom w:w="0" w:type="dxa"/>
            </w:tcMar>
            <w:vAlign w:val="center"/>
          </w:tcPr>
          <w:p w14:paraId="77FE6630" w14:textId="7777777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w:t>
            </w:r>
          </w:p>
        </w:tc>
        <w:tc>
          <w:tcPr>
            <w:tcW w:w="2765" w:type="dxa"/>
            <w:shd w:val="clear" w:color="auto" w:fill="auto"/>
            <w:tcMar>
              <w:top w:w="0" w:type="dxa"/>
              <w:bottom w:w="0" w:type="dxa"/>
            </w:tcMar>
            <w:vAlign w:val="center"/>
          </w:tcPr>
          <w:p w14:paraId="75A33D50" w14:textId="7777777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Profit after tax</w:t>
            </w:r>
          </w:p>
        </w:tc>
        <w:tc>
          <w:tcPr>
            <w:tcW w:w="1062" w:type="dxa"/>
            <w:shd w:val="clear" w:color="auto" w:fill="auto"/>
            <w:tcMar>
              <w:top w:w="0" w:type="dxa"/>
              <w:bottom w:w="0" w:type="dxa"/>
            </w:tcMar>
            <w:vAlign w:val="center"/>
          </w:tcPr>
          <w:p w14:paraId="12742C43" w14:textId="7777777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Billion VND</w:t>
            </w:r>
          </w:p>
        </w:tc>
        <w:tc>
          <w:tcPr>
            <w:tcW w:w="948" w:type="dxa"/>
            <w:shd w:val="clear" w:color="auto" w:fill="auto"/>
            <w:tcMar>
              <w:top w:w="0" w:type="dxa"/>
              <w:bottom w:w="0" w:type="dxa"/>
            </w:tcMar>
            <w:vAlign w:val="center"/>
          </w:tcPr>
          <w:p w14:paraId="0DD2C61B" w14:textId="7777777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465</w:t>
            </w:r>
          </w:p>
        </w:tc>
        <w:tc>
          <w:tcPr>
            <w:tcW w:w="945" w:type="dxa"/>
            <w:shd w:val="clear" w:color="auto" w:fill="auto"/>
            <w:tcMar>
              <w:top w:w="0" w:type="dxa"/>
              <w:bottom w:w="0" w:type="dxa"/>
            </w:tcMar>
            <w:vAlign w:val="center"/>
          </w:tcPr>
          <w:p w14:paraId="6A06C363" w14:textId="7777777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276</w:t>
            </w:r>
          </w:p>
        </w:tc>
        <w:tc>
          <w:tcPr>
            <w:tcW w:w="1224" w:type="dxa"/>
            <w:shd w:val="clear" w:color="auto" w:fill="auto"/>
            <w:tcMar>
              <w:top w:w="0" w:type="dxa"/>
              <w:bottom w:w="0" w:type="dxa"/>
            </w:tcMar>
            <w:vAlign w:val="center"/>
          </w:tcPr>
          <w:p w14:paraId="2082950B" w14:textId="7777777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59%</w:t>
            </w:r>
          </w:p>
        </w:tc>
        <w:tc>
          <w:tcPr>
            <w:tcW w:w="1364" w:type="dxa"/>
            <w:shd w:val="clear" w:color="auto" w:fill="auto"/>
            <w:tcMar>
              <w:top w:w="0" w:type="dxa"/>
              <w:bottom w:w="0" w:type="dxa"/>
            </w:tcMar>
            <w:vAlign w:val="center"/>
          </w:tcPr>
          <w:p w14:paraId="4C9C85EF" w14:textId="7777777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57%</w:t>
            </w:r>
          </w:p>
        </w:tc>
      </w:tr>
      <w:tr w:rsidR="005705DA" w14:paraId="7B1BB1F0" w14:textId="77777777">
        <w:tc>
          <w:tcPr>
            <w:tcW w:w="722" w:type="dxa"/>
            <w:shd w:val="clear" w:color="auto" w:fill="auto"/>
            <w:tcMar>
              <w:top w:w="0" w:type="dxa"/>
              <w:bottom w:w="0" w:type="dxa"/>
            </w:tcMar>
            <w:vAlign w:val="center"/>
          </w:tcPr>
          <w:p w14:paraId="28785427" w14:textId="7777777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w:t>
            </w:r>
          </w:p>
        </w:tc>
        <w:tc>
          <w:tcPr>
            <w:tcW w:w="8308" w:type="dxa"/>
            <w:gridSpan w:val="6"/>
            <w:shd w:val="clear" w:color="auto" w:fill="auto"/>
            <w:tcMar>
              <w:top w:w="0" w:type="dxa"/>
              <w:bottom w:w="0" w:type="dxa"/>
            </w:tcMar>
            <w:vAlign w:val="center"/>
          </w:tcPr>
          <w:p w14:paraId="2B4116FD" w14:textId="7777777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Results of silviculture implementation</w:t>
            </w:r>
          </w:p>
        </w:tc>
      </w:tr>
      <w:tr w:rsidR="005705DA" w14:paraId="10A339F9" w14:textId="77777777">
        <w:tc>
          <w:tcPr>
            <w:tcW w:w="722" w:type="dxa"/>
            <w:shd w:val="clear" w:color="auto" w:fill="auto"/>
            <w:tcMar>
              <w:top w:w="0" w:type="dxa"/>
              <w:bottom w:w="0" w:type="dxa"/>
            </w:tcMar>
            <w:vAlign w:val="center"/>
          </w:tcPr>
          <w:p w14:paraId="70862FB5" w14:textId="7777777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w:t>
            </w:r>
          </w:p>
        </w:tc>
        <w:tc>
          <w:tcPr>
            <w:tcW w:w="2765" w:type="dxa"/>
            <w:shd w:val="clear" w:color="auto" w:fill="auto"/>
            <w:tcMar>
              <w:top w:w="0" w:type="dxa"/>
              <w:bottom w:w="0" w:type="dxa"/>
            </w:tcMar>
            <w:vAlign w:val="center"/>
          </w:tcPr>
          <w:p w14:paraId="66E125C4" w14:textId="409EEEBC"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Create new forest </w:t>
            </w:r>
            <w:r w:rsidR="00D15801">
              <w:rPr>
                <w:rFonts w:ascii="Arial" w:hAnsi="Arial"/>
                <w:color w:val="010000"/>
                <w:sz w:val="20"/>
              </w:rPr>
              <w:t>(1</w:t>
            </w:r>
            <w:r w:rsidR="00D15801" w:rsidRPr="00D15801">
              <w:rPr>
                <w:rFonts w:ascii="Arial" w:hAnsi="Arial"/>
                <w:color w:val="010000"/>
                <w:sz w:val="20"/>
                <w:vertAlign w:val="superscript"/>
              </w:rPr>
              <w:t>st</w:t>
            </w:r>
            <w:r w:rsidR="00D15801">
              <w:rPr>
                <w:rFonts w:ascii="Arial" w:hAnsi="Arial"/>
                <w:color w:val="010000"/>
                <w:sz w:val="20"/>
              </w:rPr>
              <w:t xml:space="preserve"> year)</w:t>
            </w:r>
          </w:p>
        </w:tc>
        <w:tc>
          <w:tcPr>
            <w:tcW w:w="1062" w:type="dxa"/>
            <w:shd w:val="clear" w:color="auto" w:fill="auto"/>
            <w:tcMar>
              <w:top w:w="0" w:type="dxa"/>
              <w:bottom w:w="0" w:type="dxa"/>
            </w:tcMar>
            <w:vAlign w:val="center"/>
          </w:tcPr>
          <w:p w14:paraId="6672C983" w14:textId="7777777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ha</w:t>
            </w:r>
          </w:p>
        </w:tc>
        <w:tc>
          <w:tcPr>
            <w:tcW w:w="948" w:type="dxa"/>
            <w:shd w:val="clear" w:color="auto" w:fill="auto"/>
            <w:tcMar>
              <w:top w:w="0" w:type="dxa"/>
              <w:bottom w:w="0" w:type="dxa"/>
            </w:tcMar>
            <w:vAlign w:val="center"/>
          </w:tcPr>
          <w:p w14:paraId="5CA9835A" w14:textId="7777777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3,354</w:t>
            </w:r>
          </w:p>
        </w:tc>
        <w:tc>
          <w:tcPr>
            <w:tcW w:w="945" w:type="dxa"/>
            <w:shd w:val="clear" w:color="auto" w:fill="auto"/>
            <w:tcMar>
              <w:top w:w="0" w:type="dxa"/>
              <w:bottom w:w="0" w:type="dxa"/>
            </w:tcMar>
            <w:vAlign w:val="center"/>
          </w:tcPr>
          <w:p w14:paraId="6E20E896" w14:textId="7777777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2,890</w:t>
            </w:r>
          </w:p>
        </w:tc>
        <w:tc>
          <w:tcPr>
            <w:tcW w:w="1224" w:type="dxa"/>
            <w:shd w:val="clear" w:color="auto" w:fill="auto"/>
            <w:tcMar>
              <w:top w:w="0" w:type="dxa"/>
              <w:bottom w:w="0" w:type="dxa"/>
            </w:tcMar>
            <w:vAlign w:val="center"/>
          </w:tcPr>
          <w:p w14:paraId="7F87BAF9" w14:textId="7777777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86%</w:t>
            </w:r>
          </w:p>
        </w:tc>
        <w:tc>
          <w:tcPr>
            <w:tcW w:w="1364" w:type="dxa"/>
            <w:shd w:val="clear" w:color="auto" w:fill="auto"/>
            <w:tcMar>
              <w:top w:w="0" w:type="dxa"/>
              <w:bottom w:w="0" w:type="dxa"/>
            </w:tcMar>
            <w:vAlign w:val="center"/>
          </w:tcPr>
          <w:p w14:paraId="151CE5A9" w14:textId="7777777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96%</w:t>
            </w:r>
          </w:p>
        </w:tc>
      </w:tr>
      <w:tr w:rsidR="005705DA" w14:paraId="0F8A3AFE" w14:textId="77777777">
        <w:tc>
          <w:tcPr>
            <w:tcW w:w="722" w:type="dxa"/>
            <w:shd w:val="clear" w:color="auto" w:fill="auto"/>
            <w:tcMar>
              <w:top w:w="0" w:type="dxa"/>
              <w:bottom w:w="0" w:type="dxa"/>
            </w:tcMar>
            <w:vAlign w:val="center"/>
          </w:tcPr>
          <w:p w14:paraId="60F3B410" w14:textId="7777777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w:t>
            </w:r>
          </w:p>
        </w:tc>
        <w:tc>
          <w:tcPr>
            <w:tcW w:w="2765" w:type="dxa"/>
            <w:shd w:val="clear" w:color="auto" w:fill="auto"/>
            <w:tcMar>
              <w:top w:w="0" w:type="dxa"/>
              <w:bottom w:w="0" w:type="dxa"/>
            </w:tcMar>
            <w:vAlign w:val="center"/>
          </w:tcPr>
          <w:p w14:paraId="004FA2E8" w14:textId="4C5809CB"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Timber exploitation from planted forests</w:t>
            </w:r>
          </w:p>
        </w:tc>
        <w:tc>
          <w:tcPr>
            <w:tcW w:w="1062" w:type="dxa"/>
            <w:shd w:val="clear" w:color="auto" w:fill="auto"/>
            <w:tcMar>
              <w:top w:w="0" w:type="dxa"/>
              <w:bottom w:w="0" w:type="dxa"/>
            </w:tcMar>
            <w:vAlign w:val="center"/>
          </w:tcPr>
          <w:p w14:paraId="0A2950A3" w14:textId="7777777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ha</w:t>
            </w:r>
          </w:p>
        </w:tc>
        <w:tc>
          <w:tcPr>
            <w:tcW w:w="948" w:type="dxa"/>
            <w:shd w:val="clear" w:color="auto" w:fill="auto"/>
            <w:tcMar>
              <w:top w:w="0" w:type="dxa"/>
              <w:bottom w:w="0" w:type="dxa"/>
            </w:tcMar>
            <w:vAlign w:val="center"/>
          </w:tcPr>
          <w:p w14:paraId="6E073316" w14:textId="7777777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2,689</w:t>
            </w:r>
          </w:p>
        </w:tc>
        <w:tc>
          <w:tcPr>
            <w:tcW w:w="945" w:type="dxa"/>
            <w:shd w:val="clear" w:color="auto" w:fill="auto"/>
            <w:tcMar>
              <w:top w:w="0" w:type="dxa"/>
              <w:bottom w:w="0" w:type="dxa"/>
            </w:tcMar>
            <w:vAlign w:val="center"/>
          </w:tcPr>
          <w:p w14:paraId="253FD237" w14:textId="7777777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2,613</w:t>
            </w:r>
          </w:p>
        </w:tc>
        <w:tc>
          <w:tcPr>
            <w:tcW w:w="1224" w:type="dxa"/>
            <w:shd w:val="clear" w:color="auto" w:fill="auto"/>
            <w:tcMar>
              <w:top w:w="0" w:type="dxa"/>
              <w:bottom w:w="0" w:type="dxa"/>
            </w:tcMar>
            <w:vAlign w:val="center"/>
          </w:tcPr>
          <w:p w14:paraId="1C703CA8" w14:textId="7777777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97%</w:t>
            </w:r>
          </w:p>
        </w:tc>
        <w:tc>
          <w:tcPr>
            <w:tcW w:w="1364" w:type="dxa"/>
            <w:shd w:val="clear" w:color="auto" w:fill="auto"/>
            <w:tcMar>
              <w:top w:w="0" w:type="dxa"/>
              <w:bottom w:w="0" w:type="dxa"/>
            </w:tcMar>
            <w:vAlign w:val="center"/>
          </w:tcPr>
          <w:p w14:paraId="18D3C71C" w14:textId="7777777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82%</w:t>
            </w:r>
          </w:p>
        </w:tc>
      </w:tr>
    </w:tbl>
    <w:p w14:paraId="4505D021" w14:textId="7777777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4. Approve the Report of the Supervisory Board on tasks and power implementation in 2023 and the orientation for 2024.</w:t>
      </w:r>
    </w:p>
    <w:p w14:paraId="0B0E6220" w14:textId="7777777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5. Approve the Audited Separate and Consolidated Financial Statements 2023.</w:t>
      </w:r>
    </w:p>
    <w:p w14:paraId="41D71AD3" w14:textId="7777777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6. Approve the Proposal on profit after tax distribution in 2023. Specifically:</w:t>
      </w:r>
    </w:p>
    <w:tbl>
      <w:tblPr>
        <w:tblStyle w:val="a0"/>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8"/>
        <w:gridCol w:w="6182"/>
        <w:gridCol w:w="2289"/>
      </w:tblGrid>
      <w:tr w:rsidR="005705DA" w14:paraId="24BC9C7D" w14:textId="77777777">
        <w:tc>
          <w:tcPr>
            <w:tcW w:w="548" w:type="dxa"/>
            <w:shd w:val="clear" w:color="auto" w:fill="auto"/>
            <w:tcMar>
              <w:top w:w="0" w:type="dxa"/>
              <w:bottom w:w="0" w:type="dxa"/>
            </w:tcMar>
            <w:vAlign w:val="center"/>
          </w:tcPr>
          <w:p w14:paraId="742CE924" w14:textId="7777777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No.</w:t>
            </w:r>
          </w:p>
        </w:tc>
        <w:tc>
          <w:tcPr>
            <w:tcW w:w="6182" w:type="dxa"/>
            <w:shd w:val="clear" w:color="auto" w:fill="auto"/>
            <w:tcMar>
              <w:top w:w="0" w:type="dxa"/>
              <w:bottom w:w="0" w:type="dxa"/>
            </w:tcMar>
            <w:vAlign w:val="center"/>
          </w:tcPr>
          <w:p w14:paraId="79F8F7C5" w14:textId="7777777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Contents</w:t>
            </w:r>
          </w:p>
        </w:tc>
        <w:tc>
          <w:tcPr>
            <w:tcW w:w="2289" w:type="dxa"/>
            <w:shd w:val="clear" w:color="auto" w:fill="auto"/>
            <w:tcMar>
              <w:top w:w="0" w:type="dxa"/>
              <w:bottom w:w="0" w:type="dxa"/>
            </w:tcMar>
            <w:vAlign w:val="center"/>
          </w:tcPr>
          <w:p w14:paraId="5F463DC5" w14:textId="7777777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Amount (VND)</w:t>
            </w:r>
          </w:p>
        </w:tc>
      </w:tr>
      <w:tr w:rsidR="005705DA" w14:paraId="6A85DA5D" w14:textId="77777777">
        <w:tc>
          <w:tcPr>
            <w:tcW w:w="548" w:type="dxa"/>
            <w:shd w:val="clear" w:color="auto" w:fill="auto"/>
            <w:tcMar>
              <w:top w:w="0" w:type="dxa"/>
              <w:bottom w:w="0" w:type="dxa"/>
            </w:tcMar>
            <w:vAlign w:val="center"/>
          </w:tcPr>
          <w:p w14:paraId="72CC2CCA" w14:textId="7777777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I</w:t>
            </w:r>
          </w:p>
        </w:tc>
        <w:tc>
          <w:tcPr>
            <w:tcW w:w="6182" w:type="dxa"/>
            <w:shd w:val="clear" w:color="auto" w:fill="auto"/>
            <w:tcMar>
              <w:top w:w="0" w:type="dxa"/>
              <w:bottom w:w="0" w:type="dxa"/>
            </w:tcMar>
            <w:vAlign w:val="center"/>
          </w:tcPr>
          <w:p w14:paraId="1DDF493B" w14:textId="7777777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Total undistributed profit after tax in 2023</w:t>
            </w:r>
          </w:p>
        </w:tc>
        <w:tc>
          <w:tcPr>
            <w:tcW w:w="2289" w:type="dxa"/>
            <w:shd w:val="clear" w:color="auto" w:fill="auto"/>
            <w:tcMar>
              <w:top w:w="0" w:type="dxa"/>
              <w:bottom w:w="0" w:type="dxa"/>
            </w:tcMar>
            <w:vAlign w:val="center"/>
          </w:tcPr>
          <w:p w14:paraId="1A091C0D" w14:textId="7777777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350,404,452,372</w:t>
            </w:r>
          </w:p>
        </w:tc>
      </w:tr>
      <w:tr w:rsidR="005705DA" w14:paraId="6983228E" w14:textId="77777777">
        <w:tc>
          <w:tcPr>
            <w:tcW w:w="548" w:type="dxa"/>
            <w:shd w:val="clear" w:color="auto" w:fill="auto"/>
            <w:tcMar>
              <w:top w:w="0" w:type="dxa"/>
              <w:bottom w:w="0" w:type="dxa"/>
            </w:tcMar>
            <w:vAlign w:val="center"/>
          </w:tcPr>
          <w:p w14:paraId="2C17121B" w14:textId="7777777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w:t>
            </w:r>
          </w:p>
        </w:tc>
        <w:tc>
          <w:tcPr>
            <w:tcW w:w="6182" w:type="dxa"/>
            <w:shd w:val="clear" w:color="auto" w:fill="auto"/>
            <w:tcMar>
              <w:top w:w="0" w:type="dxa"/>
              <w:bottom w:w="0" w:type="dxa"/>
            </w:tcMar>
            <w:vAlign w:val="center"/>
          </w:tcPr>
          <w:p w14:paraId="0C1E5401" w14:textId="7777777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Profit after tax in 2023</w:t>
            </w:r>
          </w:p>
        </w:tc>
        <w:tc>
          <w:tcPr>
            <w:tcW w:w="2289" w:type="dxa"/>
            <w:shd w:val="clear" w:color="auto" w:fill="auto"/>
            <w:tcMar>
              <w:top w:w="0" w:type="dxa"/>
              <w:bottom w:w="0" w:type="dxa"/>
            </w:tcMar>
            <w:vAlign w:val="center"/>
          </w:tcPr>
          <w:p w14:paraId="028954B4" w14:textId="7777777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350,082,250,702</w:t>
            </w:r>
          </w:p>
        </w:tc>
      </w:tr>
      <w:tr w:rsidR="005705DA" w14:paraId="3448D2E5" w14:textId="77777777">
        <w:tc>
          <w:tcPr>
            <w:tcW w:w="548" w:type="dxa"/>
            <w:shd w:val="clear" w:color="auto" w:fill="auto"/>
            <w:tcMar>
              <w:top w:w="0" w:type="dxa"/>
              <w:bottom w:w="0" w:type="dxa"/>
            </w:tcMar>
            <w:vAlign w:val="center"/>
          </w:tcPr>
          <w:p w14:paraId="66D17F06" w14:textId="7777777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w:t>
            </w:r>
          </w:p>
        </w:tc>
        <w:tc>
          <w:tcPr>
            <w:tcW w:w="6182" w:type="dxa"/>
            <w:shd w:val="clear" w:color="auto" w:fill="auto"/>
            <w:tcMar>
              <w:top w:w="0" w:type="dxa"/>
              <w:bottom w:w="0" w:type="dxa"/>
            </w:tcMar>
            <w:vAlign w:val="center"/>
          </w:tcPr>
          <w:p w14:paraId="0E02E711" w14:textId="7777777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Undistributed profit after tax transferred from the previous year</w:t>
            </w:r>
          </w:p>
        </w:tc>
        <w:tc>
          <w:tcPr>
            <w:tcW w:w="2289" w:type="dxa"/>
            <w:shd w:val="clear" w:color="auto" w:fill="auto"/>
            <w:tcMar>
              <w:top w:w="0" w:type="dxa"/>
              <w:bottom w:w="0" w:type="dxa"/>
            </w:tcMar>
            <w:vAlign w:val="center"/>
          </w:tcPr>
          <w:p w14:paraId="20674182" w14:textId="7777777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322,201,670</w:t>
            </w:r>
          </w:p>
        </w:tc>
      </w:tr>
      <w:tr w:rsidR="005705DA" w14:paraId="4688CC13" w14:textId="77777777">
        <w:tc>
          <w:tcPr>
            <w:tcW w:w="548" w:type="dxa"/>
            <w:shd w:val="clear" w:color="auto" w:fill="auto"/>
            <w:tcMar>
              <w:top w:w="0" w:type="dxa"/>
              <w:bottom w:w="0" w:type="dxa"/>
            </w:tcMar>
            <w:vAlign w:val="center"/>
          </w:tcPr>
          <w:p w14:paraId="68CF7DA5" w14:textId="7777777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II</w:t>
            </w:r>
          </w:p>
        </w:tc>
        <w:tc>
          <w:tcPr>
            <w:tcW w:w="6182" w:type="dxa"/>
            <w:shd w:val="clear" w:color="auto" w:fill="auto"/>
            <w:tcMar>
              <w:top w:w="0" w:type="dxa"/>
              <w:bottom w:w="0" w:type="dxa"/>
            </w:tcMar>
            <w:vAlign w:val="center"/>
          </w:tcPr>
          <w:p w14:paraId="7B1416B4" w14:textId="7777777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Distributed profit after tax is as follows:</w:t>
            </w:r>
          </w:p>
        </w:tc>
        <w:tc>
          <w:tcPr>
            <w:tcW w:w="2289" w:type="dxa"/>
            <w:shd w:val="clear" w:color="auto" w:fill="auto"/>
            <w:tcMar>
              <w:top w:w="0" w:type="dxa"/>
              <w:bottom w:w="0" w:type="dxa"/>
            </w:tcMar>
            <w:vAlign w:val="center"/>
          </w:tcPr>
          <w:p w14:paraId="4CB7E995" w14:textId="7777777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350,167,022,200</w:t>
            </w:r>
          </w:p>
        </w:tc>
      </w:tr>
      <w:tr w:rsidR="005705DA" w14:paraId="7C1CED37" w14:textId="77777777">
        <w:tc>
          <w:tcPr>
            <w:tcW w:w="548" w:type="dxa"/>
            <w:shd w:val="clear" w:color="auto" w:fill="auto"/>
            <w:tcMar>
              <w:top w:w="0" w:type="dxa"/>
              <w:bottom w:w="0" w:type="dxa"/>
            </w:tcMar>
            <w:vAlign w:val="center"/>
          </w:tcPr>
          <w:p w14:paraId="0909D1AB" w14:textId="7777777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w:t>
            </w:r>
          </w:p>
        </w:tc>
        <w:tc>
          <w:tcPr>
            <w:tcW w:w="6182" w:type="dxa"/>
            <w:shd w:val="clear" w:color="auto" w:fill="auto"/>
            <w:tcMar>
              <w:top w:w="0" w:type="dxa"/>
              <w:bottom w:w="0" w:type="dxa"/>
            </w:tcMar>
            <w:vAlign w:val="center"/>
          </w:tcPr>
          <w:p w14:paraId="58BD3BA6" w14:textId="7777777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Appropriation for bonus and welfare funds</w:t>
            </w:r>
          </w:p>
        </w:tc>
        <w:tc>
          <w:tcPr>
            <w:tcW w:w="2289" w:type="dxa"/>
            <w:shd w:val="clear" w:color="auto" w:fill="auto"/>
            <w:tcMar>
              <w:top w:w="0" w:type="dxa"/>
              <w:bottom w:w="0" w:type="dxa"/>
            </w:tcMar>
            <w:vAlign w:val="center"/>
          </w:tcPr>
          <w:p w14:paraId="6EA647C9" w14:textId="7777777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26,430,436,840</w:t>
            </w:r>
          </w:p>
        </w:tc>
      </w:tr>
      <w:tr w:rsidR="005705DA" w14:paraId="4C83B6F5" w14:textId="77777777">
        <w:tc>
          <w:tcPr>
            <w:tcW w:w="548" w:type="dxa"/>
            <w:shd w:val="clear" w:color="auto" w:fill="auto"/>
            <w:tcMar>
              <w:top w:w="0" w:type="dxa"/>
              <w:bottom w:w="0" w:type="dxa"/>
            </w:tcMar>
            <w:vAlign w:val="center"/>
          </w:tcPr>
          <w:p w14:paraId="7CC55947" w14:textId="7777777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w:t>
            </w:r>
          </w:p>
        </w:tc>
        <w:tc>
          <w:tcPr>
            <w:tcW w:w="6182" w:type="dxa"/>
            <w:shd w:val="clear" w:color="auto" w:fill="auto"/>
            <w:tcMar>
              <w:top w:w="0" w:type="dxa"/>
              <w:bottom w:w="0" w:type="dxa"/>
            </w:tcMar>
            <w:vAlign w:val="center"/>
          </w:tcPr>
          <w:p w14:paraId="39FEF433" w14:textId="7777777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Appropriation for bonus fund for the managers of the Corporation</w:t>
            </w:r>
          </w:p>
        </w:tc>
        <w:tc>
          <w:tcPr>
            <w:tcW w:w="2289" w:type="dxa"/>
            <w:shd w:val="clear" w:color="auto" w:fill="auto"/>
            <w:tcMar>
              <w:top w:w="0" w:type="dxa"/>
              <w:bottom w:w="0" w:type="dxa"/>
            </w:tcMar>
            <w:vAlign w:val="center"/>
          </w:tcPr>
          <w:p w14:paraId="04EB28AA" w14:textId="7777777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1,386,585,360</w:t>
            </w:r>
          </w:p>
        </w:tc>
      </w:tr>
      <w:tr w:rsidR="005705DA" w14:paraId="13B9C23F" w14:textId="77777777">
        <w:tc>
          <w:tcPr>
            <w:tcW w:w="548" w:type="dxa"/>
            <w:shd w:val="clear" w:color="auto" w:fill="auto"/>
            <w:tcMar>
              <w:top w:w="0" w:type="dxa"/>
              <w:bottom w:w="0" w:type="dxa"/>
            </w:tcMar>
            <w:vAlign w:val="center"/>
          </w:tcPr>
          <w:p w14:paraId="740EAD7E" w14:textId="7777777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w:t>
            </w:r>
          </w:p>
        </w:tc>
        <w:tc>
          <w:tcPr>
            <w:tcW w:w="6182" w:type="dxa"/>
            <w:shd w:val="clear" w:color="auto" w:fill="auto"/>
            <w:tcMar>
              <w:top w:w="0" w:type="dxa"/>
              <w:bottom w:w="0" w:type="dxa"/>
            </w:tcMar>
            <w:vAlign w:val="center"/>
          </w:tcPr>
          <w:p w14:paraId="7222A877" w14:textId="7777777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Dividend payment in cash (9.21%of par value of share)</w:t>
            </w:r>
          </w:p>
        </w:tc>
        <w:tc>
          <w:tcPr>
            <w:tcW w:w="2289" w:type="dxa"/>
            <w:shd w:val="clear" w:color="auto" w:fill="auto"/>
            <w:tcMar>
              <w:top w:w="0" w:type="dxa"/>
              <w:bottom w:w="0" w:type="dxa"/>
            </w:tcMar>
            <w:vAlign w:val="center"/>
          </w:tcPr>
          <w:p w14:paraId="36A5DA70" w14:textId="7777777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322,350,000,000</w:t>
            </w:r>
          </w:p>
        </w:tc>
      </w:tr>
      <w:tr w:rsidR="005705DA" w14:paraId="2A9FDBE1" w14:textId="77777777">
        <w:tc>
          <w:tcPr>
            <w:tcW w:w="548" w:type="dxa"/>
            <w:shd w:val="clear" w:color="auto" w:fill="auto"/>
            <w:tcMar>
              <w:top w:w="0" w:type="dxa"/>
              <w:bottom w:w="0" w:type="dxa"/>
            </w:tcMar>
            <w:vAlign w:val="center"/>
          </w:tcPr>
          <w:p w14:paraId="585DB045" w14:textId="7777777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III</w:t>
            </w:r>
          </w:p>
        </w:tc>
        <w:tc>
          <w:tcPr>
            <w:tcW w:w="6182" w:type="dxa"/>
            <w:shd w:val="clear" w:color="auto" w:fill="auto"/>
            <w:tcMar>
              <w:top w:w="0" w:type="dxa"/>
              <w:bottom w:w="0" w:type="dxa"/>
            </w:tcMar>
            <w:vAlign w:val="center"/>
          </w:tcPr>
          <w:p w14:paraId="1D40288D" w14:textId="7777777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Remaining profit after tax in 2023 transferred for distribution in the following years (III=I-II)</w:t>
            </w:r>
          </w:p>
        </w:tc>
        <w:tc>
          <w:tcPr>
            <w:tcW w:w="2289" w:type="dxa"/>
            <w:shd w:val="clear" w:color="auto" w:fill="auto"/>
            <w:tcMar>
              <w:top w:w="0" w:type="dxa"/>
              <w:bottom w:w="0" w:type="dxa"/>
            </w:tcMar>
            <w:vAlign w:val="center"/>
          </w:tcPr>
          <w:p w14:paraId="416068C3" w14:textId="7777777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237,430,172</w:t>
            </w:r>
          </w:p>
        </w:tc>
      </w:tr>
    </w:tbl>
    <w:p w14:paraId="51C314D0" w14:textId="7777777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7. Approve the Proposal on selecting the audit company for the Financial Statements 2024 as follows:</w:t>
      </w:r>
    </w:p>
    <w:p w14:paraId="440253BE" w14:textId="6EBA2D0A" w:rsidR="005705DA" w:rsidRDefault="00E057D0" w:rsidP="00BC5F12">
      <w:pPr>
        <w:numPr>
          <w:ilvl w:val="0"/>
          <w:numId w:val="2"/>
        </w:numPr>
        <w:pBdr>
          <w:top w:val="nil"/>
          <w:left w:val="nil"/>
          <w:bottom w:val="nil"/>
          <w:right w:val="nil"/>
          <w:between w:val="nil"/>
        </w:pBdr>
        <w:tabs>
          <w:tab w:val="left" w:pos="432"/>
          <w:tab w:val="left" w:pos="886"/>
        </w:tabs>
        <w:spacing w:after="120" w:line="360" w:lineRule="auto"/>
        <w:jc w:val="both"/>
        <w:rPr>
          <w:rFonts w:ascii="Arial" w:eastAsia="Arial" w:hAnsi="Arial" w:cs="Arial"/>
          <w:color w:val="010000"/>
          <w:sz w:val="20"/>
          <w:szCs w:val="20"/>
        </w:rPr>
      </w:pPr>
      <w:r>
        <w:rPr>
          <w:rFonts w:ascii="Arial" w:hAnsi="Arial"/>
          <w:color w:val="010000"/>
          <w:sz w:val="20"/>
        </w:rPr>
        <w:t xml:space="preserve">The </w:t>
      </w:r>
      <w:r w:rsidR="00BC5F12">
        <w:rPr>
          <w:rFonts w:ascii="Arial" w:hAnsi="Arial"/>
          <w:color w:val="010000"/>
          <w:sz w:val="20"/>
        </w:rPr>
        <w:t>General Meeting</w:t>
      </w:r>
      <w:r>
        <w:rPr>
          <w:rFonts w:ascii="Arial" w:hAnsi="Arial"/>
          <w:color w:val="010000"/>
          <w:sz w:val="20"/>
        </w:rPr>
        <w:t xml:space="preserve"> approved the list of audit companies to select one audit company to review </w:t>
      </w:r>
      <w:r>
        <w:rPr>
          <w:rFonts w:ascii="Arial" w:hAnsi="Arial"/>
          <w:color w:val="010000"/>
          <w:sz w:val="20"/>
        </w:rPr>
        <w:lastRenderedPageBreak/>
        <w:t>the Semi-annual Financial Statements 2024 (Separate, One-member limited companies, and Consolidated); audit the Financial Statements 2024 (Separate, One-member limited companies, and Consolidated) of Viet Nam Forestry Corporation - Joint Stock company. The list of audit companies includes:</w:t>
      </w:r>
    </w:p>
    <w:p w14:paraId="2853743F" w14:textId="77777777" w:rsidR="005705DA" w:rsidRDefault="00E057D0" w:rsidP="00BC5F12">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KPMG Limited;</w:t>
      </w:r>
    </w:p>
    <w:p w14:paraId="249F4EA9" w14:textId="77777777" w:rsidR="005705DA" w:rsidRDefault="00E057D0" w:rsidP="00BC5F12">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Deloitte Vietnam Company Limited;</w:t>
      </w:r>
    </w:p>
    <w:p w14:paraId="0E995E99" w14:textId="77777777" w:rsidR="005705DA" w:rsidRDefault="00E057D0" w:rsidP="00BC5F12">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Ernst &amp; Young Vietnam Limited;</w:t>
      </w:r>
    </w:p>
    <w:p w14:paraId="2CCEC5B6" w14:textId="77777777" w:rsidR="005705DA" w:rsidRDefault="00E057D0" w:rsidP="00BC5F12">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PwC (Vietnam) Limited.</w:t>
      </w:r>
    </w:p>
    <w:p w14:paraId="13839E74" w14:textId="0B610AB3" w:rsidR="005705DA" w:rsidRDefault="00E057D0" w:rsidP="00BC5F12">
      <w:pPr>
        <w:numPr>
          <w:ilvl w:val="0"/>
          <w:numId w:val="2"/>
        </w:numPr>
        <w:pBdr>
          <w:top w:val="nil"/>
          <w:left w:val="nil"/>
          <w:bottom w:val="nil"/>
          <w:right w:val="nil"/>
          <w:between w:val="nil"/>
        </w:pBdr>
        <w:tabs>
          <w:tab w:val="left" w:pos="432"/>
          <w:tab w:val="left" w:pos="886"/>
        </w:tabs>
        <w:spacing w:after="120" w:line="360" w:lineRule="auto"/>
        <w:jc w:val="both"/>
        <w:rPr>
          <w:rFonts w:ascii="Arial" w:eastAsia="Arial" w:hAnsi="Arial" w:cs="Arial"/>
          <w:color w:val="010000"/>
          <w:sz w:val="20"/>
          <w:szCs w:val="20"/>
        </w:rPr>
      </w:pPr>
      <w:r>
        <w:rPr>
          <w:rFonts w:ascii="Arial" w:hAnsi="Arial"/>
          <w:color w:val="010000"/>
          <w:sz w:val="20"/>
        </w:rPr>
        <w:t xml:space="preserve">The </w:t>
      </w:r>
      <w:r w:rsidR="00BC5F12">
        <w:rPr>
          <w:rFonts w:ascii="Arial" w:hAnsi="Arial"/>
          <w:color w:val="010000"/>
          <w:sz w:val="20"/>
        </w:rPr>
        <w:t>General Meeting</w:t>
      </w:r>
      <w:r>
        <w:rPr>
          <w:rFonts w:ascii="Arial" w:hAnsi="Arial"/>
          <w:color w:val="010000"/>
          <w:sz w:val="20"/>
        </w:rPr>
        <w:t xml:space="preserve"> authorized the Board of Directors to decide on selecting the audit company for the Financial Statements 2024 of the Corporation (on the selection form, method, etc.), ensuring the publicity and transparency according to regulations. </w:t>
      </w:r>
    </w:p>
    <w:p w14:paraId="3B62789F" w14:textId="6DE7BC5A" w:rsidR="005705DA" w:rsidRDefault="00E057D0" w:rsidP="00BC5F12">
      <w:pPr>
        <w:pBdr>
          <w:top w:val="nil"/>
          <w:left w:val="nil"/>
          <w:bottom w:val="nil"/>
          <w:right w:val="nil"/>
          <w:between w:val="nil"/>
        </w:pBdr>
        <w:tabs>
          <w:tab w:val="left" w:pos="432"/>
          <w:tab w:val="left" w:pos="886"/>
        </w:tabs>
        <w:spacing w:after="120" w:line="360" w:lineRule="auto"/>
        <w:jc w:val="both"/>
        <w:rPr>
          <w:rFonts w:ascii="Arial" w:eastAsia="Arial" w:hAnsi="Arial" w:cs="Arial"/>
          <w:color w:val="010000"/>
          <w:sz w:val="20"/>
          <w:szCs w:val="20"/>
        </w:rPr>
      </w:pPr>
      <w:r>
        <w:rPr>
          <w:rFonts w:ascii="Arial" w:hAnsi="Arial"/>
          <w:color w:val="010000"/>
          <w:sz w:val="20"/>
        </w:rPr>
        <w:t>Article 8: Approve the Proposal on remuneration and salary for the Board of Directors (includ</w:t>
      </w:r>
      <w:r w:rsidR="00BC5F12">
        <w:rPr>
          <w:rFonts w:ascii="Arial" w:hAnsi="Arial"/>
          <w:color w:val="010000"/>
          <w:sz w:val="20"/>
        </w:rPr>
        <w:t>ing the General Manager) and</w:t>
      </w:r>
      <w:r>
        <w:rPr>
          <w:rFonts w:ascii="Arial" w:hAnsi="Arial"/>
          <w:color w:val="010000"/>
          <w:sz w:val="20"/>
        </w:rPr>
        <w:t xml:space="preserve"> Supervisory Board in 2024 with main contents as follows:</w:t>
      </w:r>
    </w:p>
    <w:p w14:paraId="4BBA333E" w14:textId="77777777" w:rsidR="005705DA" w:rsidRDefault="00E057D0" w:rsidP="00BC5F12">
      <w:pPr>
        <w:numPr>
          <w:ilvl w:val="0"/>
          <w:numId w:val="3"/>
        </w:numPr>
        <w:pBdr>
          <w:top w:val="nil"/>
          <w:left w:val="nil"/>
          <w:bottom w:val="nil"/>
          <w:right w:val="nil"/>
          <w:between w:val="nil"/>
        </w:pBdr>
        <w:tabs>
          <w:tab w:val="left" w:pos="432"/>
          <w:tab w:val="left" w:pos="1006"/>
        </w:tabs>
        <w:spacing w:after="120" w:line="360" w:lineRule="auto"/>
        <w:jc w:val="both"/>
        <w:rPr>
          <w:rFonts w:ascii="Arial" w:eastAsia="Arial" w:hAnsi="Arial" w:cs="Arial"/>
          <w:color w:val="010000"/>
          <w:sz w:val="20"/>
          <w:szCs w:val="20"/>
        </w:rPr>
      </w:pPr>
      <w:r>
        <w:rPr>
          <w:rFonts w:ascii="Arial" w:hAnsi="Arial"/>
          <w:color w:val="010000"/>
          <w:sz w:val="20"/>
        </w:rPr>
        <w:t>Salary and remuneration of the Board of Directors (including the General Manager) in 2024 is VND5,668,871,843.</w:t>
      </w:r>
    </w:p>
    <w:p w14:paraId="414CB64D" w14:textId="77777777" w:rsidR="005705DA" w:rsidRDefault="00E057D0" w:rsidP="00BC5F12">
      <w:pPr>
        <w:numPr>
          <w:ilvl w:val="0"/>
          <w:numId w:val="3"/>
        </w:numPr>
        <w:pBdr>
          <w:top w:val="nil"/>
          <w:left w:val="nil"/>
          <w:bottom w:val="nil"/>
          <w:right w:val="nil"/>
          <w:between w:val="nil"/>
        </w:pBdr>
        <w:tabs>
          <w:tab w:val="left" w:pos="432"/>
          <w:tab w:val="left" w:pos="1038"/>
        </w:tabs>
        <w:spacing w:after="120" w:line="360" w:lineRule="auto"/>
        <w:jc w:val="both"/>
        <w:rPr>
          <w:rFonts w:ascii="Arial" w:eastAsia="Arial" w:hAnsi="Arial" w:cs="Arial"/>
          <w:color w:val="010000"/>
          <w:sz w:val="20"/>
          <w:szCs w:val="20"/>
        </w:rPr>
      </w:pPr>
      <w:r>
        <w:rPr>
          <w:rFonts w:ascii="Arial" w:hAnsi="Arial"/>
          <w:color w:val="010000"/>
          <w:sz w:val="20"/>
        </w:rPr>
        <w:t>Salary and remuneration of the Supervisory Board in 2024 is VND824,248,013.</w:t>
      </w:r>
    </w:p>
    <w:p w14:paraId="36FA8D94" w14:textId="61248E48" w:rsidR="005705DA" w:rsidRDefault="00E057D0" w:rsidP="00BC5F12">
      <w:pPr>
        <w:numPr>
          <w:ilvl w:val="0"/>
          <w:numId w:val="3"/>
        </w:numPr>
        <w:pBdr>
          <w:top w:val="nil"/>
          <w:left w:val="nil"/>
          <w:bottom w:val="nil"/>
          <w:right w:val="nil"/>
          <w:between w:val="nil"/>
        </w:pBdr>
        <w:tabs>
          <w:tab w:val="left" w:pos="432"/>
          <w:tab w:val="left" w:pos="1038"/>
        </w:tabs>
        <w:spacing w:after="120" w:line="360" w:lineRule="auto"/>
        <w:jc w:val="both"/>
        <w:rPr>
          <w:rFonts w:ascii="Arial" w:eastAsia="Arial" w:hAnsi="Arial" w:cs="Arial"/>
          <w:color w:val="010000"/>
          <w:sz w:val="20"/>
          <w:szCs w:val="20"/>
        </w:rPr>
      </w:pPr>
      <w:r>
        <w:rPr>
          <w:rFonts w:ascii="Arial" w:hAnsi="Arial"/>
          <w:color w:val="010000"/>
          <w:sz w:val="20"/>
        </w:rPr>
        <w:t xml:space="preserve">Remuneration, salary </w:t>
      </w:r>
      <w:r w:rsidR="00BA18F9">
        <w:rPr>
          <w:rFonts w:ascii="Arial" w:hAnsi="Arial"/>
          <w:color w:val="010000"/>
          <w:sz w:val="20"/>
        </w:rPr>
        <w:t>increase</w:t>
      </w:r>
      <w:r>
        <w:rPr>
          <w:rFonts w:ascii="Arial" w:hAnsi="Arial"/>
          <w:color w:val="010000"/>
          <w:sz w:val="20"/>
        </w:rPr>
        <w:t xml:space="preserve"> and decrease:</w:t>
      </w:r>
    </w:p>
    <w:p w14:paraId="451625EE" w14:textId="77777777" w:rsidR="005705DA" w:rsidRDefault="00E057D0" w:rsidP="00BC5F12">
      <w:pPr>
        <w:numPr>
          <w:ilvl w:val="0"/>
          <w:numId w:val="8"/>
        </w:numPr>
        <w:pBdr>
          <w:top w:val="nil"/>
          <w:left w:val="nil"/>
          <w:bottom w:val="nil"/>
          <w:right w:val="nil"/>
          <w:between w:val="nil"/>
        </w:pBdr>
        <w:tabs>
          <w:tab w:val="left" w:pos="432"/>
          <w:tab w:val="left" w:pos="1010"/>
        </w:tabs>
        <w:spacing w:after="120" w:line="360" w:lineRule="auto"/>
        <w:jc w:val="both"/>
        <w:rPr>
          <w:rFonts w:ascii="Arial" w:eastAsia="Arial" w:hAnsi="Arial" w:cs="Arial"/>
          <w:color w:val="010000"/>
          <w:sz w:val="20"/>
          <w:szCs w:val="20"/>
        </w:rPr>
      </w:pPr>
      <w:r>
        <w:rPr>
          <w:rFonts w:ascii="Arial" w:hAnsi="Arial"/>
          <w:color w:val="010000"/>
          <w:sz w:val="20"/>
        </w:rPr>
        <w:t>Salary and remuneration increase:</w:t>
      </w:r>
    </w:p>
    <w:p w14:paraId="7DB9FA04" w14:textId="52734815"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If the Corporation completes the production and business plan and realized profit exceeds the plan, for every 1% of realized profit exceeding planned profit, the average realized salary is calculated by a maximum of 2%, but not more than 20% of the planned average salary.</w:t>
      </w:r>
    </w:p>
    <w:p w14:paraId="62B9747F" w14:textId="77777777" w:rsidR="005705DA" w:rsidRDefault="00E057D0" w:rsidP="00BC5F12">
      <w:pPr>
        <w:numPr>
          <w:ilvl w:val="0"/>
          <w:numId w:val="8"/>
        </w:numPr>
        <w:pBdr>
          <w:top w:val="nil"/>
          <w:left w:val="nil"/>
          <w:bottom w:val="nil"/>
          <w:right w:val="nil"/>
          <w:between w:val="nil"/>
        </w:pBdr>
        <w:tabs>
          <w:tab w:val="left" w:pos="432"/>
          <w:tab w:val="left" w:pos="1010"/>
        </w:tabs>
        <w:spacing w:after="120" w:line="360" w:lineRule="auto"/>
        <w:jc w:val="both"/>
        <w:rPr>
          <w:rFonts w:ascii="Arial" w:eastAsia="Arial" w:hAnsi="Arial" w:cs="Arial"/>
          <w:color w:val="010000"/>
          <w:sz w:val="20"/>
          <w:szCs w:val="20"/>
        </w:rPr>
      </w:pPr>
      <w:r>
        <w:rPr>
          <w:rFonts w:ascii="Arial" w:hAnsi="Arial"/>
          <w:color w:val="010000"/>
          <w:sz w:val="20"/>
        </w:rPr>
        <w:t>Salary and remuneration decrease:</w:t>
      </w:r>
    </w:p>
    <w:p w14:paraId="7FB70E84" w14:textId="7777777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If the Corporation has realized profit lower than planned profit, for every 1% of realized profit lower than the plan, the average realized salary of the managers must be reduced by 1% compared to the planned average salary.</w:t>
      </w:r>
    </w:p>
    <w:p w14:paraId="2CB4CAC0" w14:textId="3D37512B"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In case of objective factors affecting profit (increase or decrease), when determining the realized salary and remuneration fund, the Board of Directors of the Corporation excludes the increase or decrease in profit due to objective factors according to regulations of Decree No. 53/2016/ND-C</w:t>
      </w:r>
      <w:r w:rsidR="00BC5F12">
        <w:rPr>
          <w:rFonts w:ascii="Arial" w:hAnsi="Arial"/>
          <w:color w:val="010000"/>
          <w:sz w:val="20"/>
        </w:rPr>
        <w:t>P dated June 13, 2016 by</w:t>
      </w:r>
      <w:r>
        <w:rPr>
          <w:rFonts w:ascii="Arial" w:hAnsi="Arial"/>
          <w:color w:val="010000"/>
          <w:sz w:val="20"/>
        </w:rPr>
        <w:t xml:space="preserve"> the Government and Cir</w:t>
      </w:r>
      <w:r w:rsidR="00BC5F12">
        <w:rPr>
          <w:rFonts w:ascii="Arial" w:hAnsi="Arial"/>
          <w:color w:val="010000"/>
          <w:sz w:val="20"/>
        </w:rPr>
        <w:t>cular No. 28/2016/TT- BLDTBXH by</w:t>
      </w:r>
      <w:r>
        <w:rPr>
          <w:rFonts w:ascii="Arial" w:hAnsi="Arial"/>
          <w:color w:val="010000"/>
          <w:sz w:val="20"/>
        </w:rPr>
        <w:t xml:space="preserve"> the Ministry of Labor, War Invalids and Social Affairs.</w:t>
      </w:r>
    </w:p>
    <w:p w14:paraId="2ED2F7B3" w14:textId="60151C88"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9. Approve the Proposal on replacement personnel joining the Board of Directors</w:t>
      </w:r>
    </w:p>
    <w:p w14:paraId="6E756099" w14:textId="7777777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Accordingly, the Meeting approved on:</w:t>
      </w:r>
    </w:p>
    <w:p w14:paraId="2807ADDE" w14:textId="77777777" w:rsidR="005705DA" w:rsidRDefault="00E057D0" w:rsidP="00BC5F12">
      <w:pPr>
        <w:numPr>
          <w:ilvl w:val="0"/>
          <w:numId w:val="8"/>
        </w:numPr>
        <w:pBdr>
          <w:top w:val="nil"/>
          <w:left w:val="nil"/>
          <w:bottom w:val="nil"/>
          <w:right w:val="nil"/>
          <w:between w:val="nil"/>
        </w:pBdr>
        <w:tabs>
          <w:tab w:val="left" w:pos="432"/>
          <w:tab w:val="left" w:pos="918"/>
        </w:tabs>
        <w:spacing w:after="120" w:line="360" w:lineRule="auto"/>
        <w:jc w:val="both"/>
        <w:rPr>
          <w:rFonts w:ascii="Arial" w:eastAsia="Arial" w:hAnsi="Arial" w:cs="Arial"/>
          <w:color w:val="010000"/>
          <w:sz w:val="20"/>
          <w:szCs w:val="20"/>
        </w:rPr>
      </w:pPr>
      <w:r>
        <w:rPr>
          <w:rFonts w:ascii="Arial" w:hAnsi="Arial"/>
          <w:color w:val="010000"/>
          <w:sz w:val="20"/>
        </w:rPr>
        <w:t xml:space="preserve">Dismissing 02 members of the Board of Directors for the term 2021-2026 for Mr. Nguyen Tan Cuong and Mr. Do Ngoc </w:t>
      </w:r>
      <w:proofErr w:type="spellStart"/>
      <w:r>
        <w:rPr>
          <w:rFonts w:ascii="Arial" w:hAnsi="Arial"/>
          <w:color w:val="010000"/>
          <w:sz w:val="20"/>
        </w:rPr>
        <w:t>Khanh</w:t>
      </w:r>
      <w:proofErr w:type="spellEnd"/>
    </w:p>
    <w:p w14:paraId="49A5E0DC" w14:textId="77777777" w:rsidR="005705DA" w:rsidRDefault="00E057D0" w:rsidP="00BC5F12">
      <w:pPr>
        <w:numPr>
          <w:ilvl w:val="0"/>
          <w:numId w:val="8"/>
        </w:numPr>
        <w:pBdr>
          <w:top w:val="nil"/>
          <w:left w:val="nil"/>
          <w:bottom w:val="nil"/>
          <w:right w:val="nil"/>
          <w:between w:val="nil"/>
        </w:pBdr>
        <w:tabs>
          <w:tab w:val="left" w:pos="432"/>
          <w:tab w:val="left" w:pos="929"/>
        </w:tabs>
        <w:spacing w:after="120" w:line="360" w:lineRule="auto"/>
        <w:jc w:val="both"/>
        <w:rPr>
          <w:rFonts w:ascii="Arial" w:eastAsia="Arial" w:hAnsi="Arial" w:cs="Arial"/>
          <w:color w:val="010000"/>
          <w:sz w:val="20"/>
          <w:szCs w:val="20"/>
        </w:rPr>
      </w:pPr>
      <w:r>
        <w:rPr>
          <w:rFonts w:ascii="Arial" w:hAnsi="Arial"/>
          <w:color w:val="010000"/>
          <w:sz w:val="20"/>
        </w:rPr>
        <w:lastRenderedPageBreak/>
        <w:t>Electing 02 additional members of the Board of Directors for the term 2021-2026 replacing members of the Board of Directors mentioned above.</w:t>
      </w:r>
    </w:p>
    <w:p w14:paraId="7BB02F23" w14:textId="7777777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10. The Meeting approved the election results of additional members of the Board of Directors for the term 2021-2026.</w:t>
      </w:r>
    </w:p>
    <w:p w14:paraId="310D3C0A" w14:textId="7777777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Results of elected members of the Board of Directors for the term 2021-2026 are as follows: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06"/>
        <w:gridCol w:w="7513"/>
      </w:tblGrid>
      <w:tr w:rsidR="00E057D0" w14:paraId="598FE640" w14:textId="77777777" w:rsidTr="00E057D0">
        <w:tc>
          <w:tcPr>
            <w:tcW w:w="835" w:type="pct"/>
            <w:shd w:val="clear" w:color="auto" w:fill="auto"/>
            <w:tcMar>
              <w:top w:w="0" w:type="dxa"/>
              <w:bottom w:w="0" w:type="dxa"/>
            </w:tcMar>
            <w:vAlign w:val="center"/>
          </w:tcPr>
          <w:p w14:paraId="63C51BE1" w14:textId="77777777" w:rsidR="00E057D0"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No.</w:t>
            </w:r>
          </w:p>
        </w:tc>
        <w:tc>
          <w:tcPr>
            <w:tcW w:w="4165" w:type="pct"/>
            <w:shd w:val="clear" w:color="auto" w:fill="auto"/>
            <w:tcMar>
              <w:top w:w="0" w:type="dxa"/>
              <w:bottom w:w="0" w:type="dxa"/>
            </w:tcMar>
            <w:vAlign w:val="center"/>
          </w:tcPr>
          <w:p w14:paraId="1BCB752F" w14:textId="77777777" w:rsidR="00E057D0"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Full name</w:t>
            </w:r>
          </w:p>
        </w:tc>
      </w:tr>
      <w:tr w:rsidR="00E057D0" w14:paraId="2F68E811" w14:textId="77777777" w:rsidTr="00E057D0">
        <w:tc>
          <w:tcPr>
            <w:tcW w:w="835" w:type="pct"/>
            <w:shd w:val="clear" w:color="auto" w:fill="auto"/>
            <w:tcMar>
              <w:top w:w="0" w:type="dxa"/>
              <w:bottom w:w="0" w:type="dxa"/>
            </w:tcMar>
            <w:vAlign w:val="center"/>
          </w:tcPr>
          <w:p w14:paraId="00810E01" w14:textId="77777777" w:rsidR="00E057D0"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w:t>
            </w:r>
          </w:p>
        </w:tc>
        <w:tc>
          <w:tcPr>
            <w:tcW w:w="4165" w:type="pct"/>
            <w:shd w:val="clear" w:color="auto" w:fill="auto"/>
            <w:tcMar>
              <w:top w:w="0" w:type="dxa"/>
              <w:bottom w:w="0" w:type="dxa"/>
            </w:tcMar>
            <w:vAlign w:val="center"/>
          </w:tcPr>
          <w:p w14:paraId="7202ED4A" w14:textId="77777777" w:rsidR="00E057D0"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Do Vinh Quang</w:t>
            </w:r>
          </w:p>
        </w:tc>
      </w:tr>
      <w:tr w:rsidR="00E057D0" w14:paraId="1D9117F3" w14:textId="77777777" w:rsidTr="00E057D0">
        <w:tc>
          <w:tcPr>
            <w:tcW w:w="835" w:type="pct"/>
            <w:shd w:val="clear" w:color="auto" w:fill="auto"/>
            <w:tcMar>
              <w:top w:w="0" w:type="dxa"/>
              <w:bottom w:w="0" w:type="dxa"/>
            </w:tcMar>
            <w:vAlign w:val="center"/>
          </w:tcPr>
          <w:p w14:paraId="669B96B6" w14:textId="77777777" w:rsidR="00E057D0"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w:t>
            </w:r>
          </w:p>
        </w:tc>
        <w:tc>
          <w:tcPr>
            <w:tcW w:w="4165" w:type="pct"/>
            <w:shd w:val="clear" w:color="auto" w:fill="auto"/>
            <w:tcMar>
              <w:top w:w="0" w:type="dxa"/>
              <w:bottom w:w="0" w:type="dxa"/>
            </w:tcMar>
            <w:vAlign w:val="center"/>
          </w:tcPr>
          <w:p w14:paraId="79F1A958" w14:textId="77777777" w:rsidR="00E057D0"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Ngo Thi Thuy Mai</w:t>
            </w:r>
          </w:p>
        </w:tc>
      </w:tr>
    </w:tbl>
    <w:p w14:paraId="62508A96" w14:textId="4BC23E07" w:rsidR="005705DA" w:rsidRDefault="00E057D0" w:rsidP="00BC5F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11. Assig</w:t>
      </w:r>
      <w:r w:rsidR="00BC5F12">
        <w:rPr>
          <w:rFonts w:ascii="Arial" w:hAnsi="Arial"/>
          <w:color w:val="010000"/>
          <w:sz w:val="20"/>
        </w:rPr>
        <w:t>n the Board of Directors and</w:t>
      </w:r>
      <w:r>
        <w:rPr>
          <w:rFonts w:ascii="Arial" w:hAnsi="Arial"/>
          <w:color w:val="010000"/>
          <w:sz w:val="20"/>
        </w:rPr>
        <w:t xml:space="preserve"> Supervisory Board of the Corporation to </w:t>
      </w:r>
      <w:r w:rsidR="00BC5F12">
        <w:rPr>
          <w:rFonts w:ascii="Arial" w:hAnsi="Arial"/>
          <w:color w:val="010000"/>
          <w:sz w:val="20"/>
        </w:rPr>
        <w:t>direct</w:t>
      </w:r>
      <w:r>
        <w:rPr>
          <w:rFonts w:ascii="Arial" w:hAnsi="Arial"/>
          <w:color w:val="010000"/>
          <w:sz w:val="20"/>
        </w:rPr>
        <w:t xml:space="preserve"> the implementation of this General Mandate </w:t>
      </w:r>
      <w:r w:rsidR="00BC5F12">
        <w:rPr>
          <w:rFonts w:ascii="Arial" w:hAnsi="Arial"/>
          <w:color w:val="010000"/>
          <w:sz w:val="20"/>
        </w:rPr>
        <w:t>under applicable</w:t>
      </w:r>
      <w:bookmarkStart w:id="0" w:name="_GoBack"/>
      <w:bookmarkEnd w:id="0"/>
      <w:r w:rsidR="00BC5F12">
        <w:rPr>
          <w:rFonts w:ascii="Arial" w:hAnsi="Arial"/>
          <w:color w:val="010000"/>
          <w:sz w:val="20"/>
        </w:rPr>
        <w:t xml:space="preserve"> laws and</w:t>
      </w:r>
      <w:r>
        <w:rPr>
          <w:rFonts w:ascii="Arial" w:hAnsi="Arial"/>
          <w:color w:val="010000"/>
          <w:sz w:val="20"/>
        </w:rPr>
        <w:t xml:space="preserve"> the Charter on organization and operation of Viet Nam Forestry Corporation - Joint Stock </w:t>
      </w:r>
      <w:proofErr w:type="gramStart"/>
      <w:r>
        <w:rPr>
          <w:rFonts w:ascii="Arial" w:hAnsi="Arial"/>
          <w:color w:val="010000"/>
          <w:sz w:val="20"/>
        </w:rPr>
        <w:t>company .</w:t>
      </w:r>
      <w:proofErr w:type="gramEnd"/>
      <w:r>
        <w:rPr>
          <w:rFonts w:ascii="Arial" w:hAnsi="Arial"/>
          <w:color w:val="010000"/>
          <w:sz w:val="20"/>
        </w:rPr>
        <w:t>/.</w:t>
      </w:r>
      <w:r>
        <w:rPr>
          <w:rFonts w:ascii="Times New Roman" w:hAnsi="Times New Roman"/>
          <w:b/>
          <w:color w:val="010000"/>
          <w:sz w:val="20"/>
        </w:rPr>
        <w:t xml:space="preserve"> </w:t>
      </w:r>
    </w:p>
    <w:sectPr w:rsidR="005705DA">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AD8"/>
    <w:multiLevelType w:val="multilevel"/>
    <w:tmpl w:val="C58AE6D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5C11815"/>
    <w:multiLevelType w:val="multilevel"/>
    <w:tmpl w:val="055E5B00"/>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47F3AB0"/>
    <w:multiLevelType w:val="multilevel"/>
    <w:tmpl w:val="5A08699C"/>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EA0139C"/>
    <w:multiLevelType w:val="multilevel"/>
    <w:tmpl w:val="D13C8FC2"/>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501F78E5"/>
    <w:multiLevelType w:val="multilevel"/>
    <w:tmpl w:val="65C22B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55C014F"/>
    <w:multiLevelType w:val="multilevel"/>
    <w:tmpl w:val="A648C0D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672B3A45"/>
    <w:multiLevelType w:val="multilevel"/>
    <w:tmpl w:val="40AC6A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76E39D0"/>
    <w:multiLevelType w:val="multilevel"/>
    <w:tmpl w:val="2CC61C9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2"/>
  </w:num>
  <w:num w:numId="3">
    <w:abstractNumId w:val="0"/>
  </w:num>
  <w:num w:numId="4">
    <w:abstractNumId w:val="4"/>
  </w:num>
  <w:num w:numId="5">
    <w:abstractNumId w:val="6"/>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5DA"/>
    <w:rsid w:val="005705DA"/>
    <w:rsid w:val="00655748"/>
    <w:rsid w:val="00BA18F9"/>
    <w:rsid w:val="00BC5F12"/>
    <w:rsid w:val="00D15801"/>
    <w:rsid w:val="00E057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F4B63"/>
  <w15:docId w15:val="{BCEDD4B1-5F53-4675-8E45-B13ECA264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color w:val="B62D41"/>
      <w:w w:val="50"/>
      <w:sz w:val="22"/>
      <w:szCs w:val="22"/>
      <w:u w:val="none"/>
      <w:shd w:val="clear" w:color="auto" w:fill="auto"/>
    </w:rPr>
  </w:style>
  <w:style w:type="paragraph" w:customStyle="1" w:styleId="Vnbnnidung0">
    <w:name w:val="Văn bản nội dung"/>
    <w:basedOn w:val="Normal"/>
    <w:link w:val="Vnbnnidung"/>
    <w:pPr>
      <w:spacing w:line="269" w:lineRule="auto"/>
      <w:ind w:firstLine="400"/>
    </w:pPr>
    <w:rPr>
      <w:rFonts w:ascii="Times New Roman" w:eastAsia="Times New Roman" w:hAnsi="Times New Roman" w:cs="Times New Roman"/>
      <w:sz w:val="22"/>
      <w:szCs w:val="22"/>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26"/>
      <w:szCs w:val="26"/>
    </w:rPr>
  </w:style>
  <w:style w:type="paragraph" w:customStyle="1" w:styleId="Chthchbng0">
    <w:name w:val="Chú thích bảng"/>
    <w:basedOn w:val="Normal"/>
    <w:link w:val="Chthchbng"/>
    <w:rPr>
      <w:rFonts w:ascii="Times New Roman" w:eastAsia="Times New Roman" w:hAnsi="Times New Roman" w:cs="Times New Roman"/>
      <w:sz w:val="22"/>
      <w:szCs w:val="22"/>
    </w:rPr>
  </w:style>
  <w:style w:type="paragraph" w:customStyle="1" w:styleId="Khc0">
    <w:name w:val="Khác"/>
    <w:basedOn w:val="Normal"/>
    <w:link w:val="Khc"/>
    <w:pPr>
      <w:spacing w:line="269" w:lineRule="auto"/>
      <w:ind w:firstLine="400"/>
    </w:pPr>
    <w:rPr>
      <w:rFonts w:ascii="Times New Roman" w:eastAsia="Times New Roman" w:hAnsi="Times New Roman" w:cs="Times New Roman"/>
      <w:sz w:val="22"/>
      <w:szCs w:val="22"/>
    </w:rPr>
  </w:style>
  <w:style w:type="paragraph" w:customStyle="1" w:styleId="Vnbnnidung20">
    <w:name w:val="Văn bản nội dung (2)"/>
    <w:basedOn w:val="Normal"/>
    <w:link w:val="Vnbnnidung2"/>
    <w:pPr>
      <w:jc w:val="center"/>
    </w:pPr>
    <w:rPr>
      <w:rFonts w:ascii="Times New Roman" w:eastAsia="Times New Roman" w:hAnsi="Times New Roman" w:cs="Times New Roman"/>
      <w:b/>
      <w:bCs/>
      <w:sz w:val="26"/>
      <w:szCs w:val="26"/>
    </w:rPr>
  </w:style>
  <w:style w:type="paragraph" w:customStyle="1" w:styleId="Vnbnnidung30">
    <w:name w:val="Văn bản nội dung (3)"/>
    <w:basedOn w:val="Normal"/>
    <w:link w:val="Vnbnnidung3"/>
    <w:rPr>
      <w:rFonts w:ascii="Arial" w:eastAsia="Arial" w:hAnsi="Arial" w:cs="Arial"/>
      <w:b/>
      <w:bCs/>
      <w:color w:val="B62D41"/>
      <w:w w:val="50"/>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UiEmQt+sGXiI5SmbgyZb148cRw==">CgMxLjA4AHIhMWFwczV6SHFXLWVueTFza1E3ZjNHV3lqR2NOcmoxY0NT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2024-07-04T09:27:00Z</dcterms:created>
  <dcterms:modified xsi:type="dcterms:W3CDTF">2024-07-04T09:27:00Z</dcterms:modified>
</cp:coreProperties>
</file>