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1651" w:rsidRDefault="008E1C81" w:rsidP="00606A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CEN: Board Resolution</w:t>
      </w:r>
    </w:p>
    <w:p w14:paraId="00000002" w14:textId="35DDABEB" w:rsidR="00EA1651" w:rsidRDefault="008E1C81" w:rsidP="00606A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July 02, 2024, CENCON Viet Nam Joint Stock Company announced Resolution No.05/2024/CEN/NQ-HDQT on </w:t>
      </w:r>
      <w:r w:rsidR="00606A95">
        <w:rPr>
          <w:rFonts w:ascii="Arial" w:hAnsi="Arial"/>
          <w:color w:val="010000"/>
          <w:sz w:val="20"/>
        </w:rPr>
        <w:t>convening</w:t>
      </w:r>
      <w:r>
        <w:rPr>
          <w:rFonts w:ascii="Arial" w:hAnsi="Arial"/>
          <w:color w:val="010000"/>
          <w:sz w:val="20"/>
        </w:rPr>
        <w:t xml:space="preserve"> the </w:t>
      </w:r>
      <w:r w:rsidR="00606A95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 as follows:</w:t>
      </w:r>
    </w:p>
    <w:p w14:paraId="00000003" w14:textId="122A2B1E" w:rsidR="00EA1651" w:rsidRDefault="008E1C81" w:rsidP="00606A9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1. Approved</w:t>
      </w:r>
      <w:r w:rsidR="007A1EF9">
        <w:rPr>
          <w:rFonts w:ascii="Arial" w:hAnsi="Arial"/>
          <w:sz w:val="20"/>
        </w:rPr>
        <w:t xml:space="preserve"> on</w:t>
      </w:r>
      <w:r>
        <w:rPr>
          <w:rFonts w:ascii="Arial" w:hAnsi="Arial"/>
          <w:sz w:val="20"/>
        </w:rPr>
        <w:t xml:space="preserve"> the </w:t>
      </w:r>
      <w:r w:rsidR="007A1EF9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 xml:space="preserve">eeting </w:t>
      </w:r>
      <w:r w:rsidR="007A1EF9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genda of the second Annual </w:t>
      </w:r>
      <w:r w:rsidR="00606A95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2024 of the Company as follows:</w:t>
      </w:r>
    </w:p>
    <w:p w14:paraId="00000004" w14:textId="3771EBAD" w:rsidR="00EA1651" w:rsidRDefault="00606A95" w:rsidP="00606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Date: 8am,</w:t>
      </w:r>
      <w:r w:rsidR="008E1C81">
        <w:rPr>
          <w:rFonts w:ascii="Arial" w:hAnsi="Arial"/>
          <w:sz w:val="20"/>
        </w:rPr>
        <w:t xml:space="preserve"> Friday, July 26, 2024;</w:t>
      </w:r>
    </w:p>
    <w:p w14:paraId="00000005" w14:textId="77777777" w:rsidR="00EA1651" w:rsidRDefault="008E1C81" w:rsidP="00606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Venue: Lot 45-50B, Thuy Hoa Street, Duyen Hai Ward, Lao Cai City, Lao Cai Province, Vietnam;</w:t>
      </w:r>
    </w:p>
    <w:p w14:paraId="00000006" w14:textId="77777777" w:rsidR="00EA1651" w:rsidRDefault="008E1C81" w:rsidP="00606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423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Content:</w:t>
      </w:r>
    </w:p>
    <w:p w14:paraId="00000007" w14:textId="6E8803E5" w:rsidR="00EA1651" w:rsidRDefault="007A1EF9" w:rsidP="00606A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423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Report on activities of the Board of Managers on the production and business results in 2023 and the production and business plan for 2024;</w:t>
      </w:r>
    </w:p>
    <w:p w14:paraId="00000008" w14:textId="25780ED3" w:rsidR="00EA1651" w:rsidRDefault="007A1EF9" w:rsidP="00606A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Report on activities of the Board of Directors in 2023 and the plan for 2024;</w:t>
      </w:r>
    </w:p>
    <w:p w14:paraId="00000009" w14:textId="09DD82A8" w:rsidR="00EA1651" w:rsidRDefault="007A1EF9" w:rsidP="00606A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Report on activities of the Supervisory Board in 2023 and the plan for 2024;</w:t>
      </w:r>
    </w:p>
    <w:p w14:paraId="0000000A" w14:textId="11EA1DE2" w:rsidR="00EA1651" w:rsidRDefault="007A1EF9" w:rsidP="00606A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Proposal on approving the Audited Financial Statements 2023;</w:t>
      </w:r>
    </w:p>
    <w:p w14:paraId="0000000B" w14:textId="6F93F405" w:rsidR="00EA1651" w:rsidRDefault="007A1EF9" w:rsidP="00606A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Proposal on the selection of an audit company for 2024;</w:t>
      </w:r>
    </w:p>
    <w:p w14:paraId="0000000C" w14:textId="1A056944" w:rsidR="00EA1651" w:rsidRDefault="007A1EF9" w:rsidP="00606A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Proposal on the remuneration payment for the Board of Directors and the Supervisory Board in 2023 and the payment plan for 2024; The plan on profit distribution in 2023 and the expected plan for 2024;</w:t>
      </w:r>
    </w:p>
    <w:p w14:paraId="0000000D" w14:textId="1EE69A05" w:rsidR="00EA1651" w:rsidRDefault="007A1EF9" w:rsidP="00606A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Proposal on reporting the </w:t>
      </w:r>
      <w:r w:rsidR="00A35A32">
        <w:rPr>
          <w:rFonts w:ascii="Arial" w:hAnsi="Arial"/>
          <w:sz w:val="20"/>
        </w:rPr>
        <w:t>situation</w:t>
      </w:r>
      <w:r>
        <w:rPr>
          <w:rFonts w:ascii="Arial" w:hAnsi="Arial"/>
          <w:sz w:val="20"/>
        </w:rPr>
        <w:t xml:space="preserve"> of </w:t>
      </w:r>
      <w:r w:rsidR="00A35A32">
        <w:rPr>
          <w:rFonts w:ascii="Arial" w:hAnsi="Arial"/>
          <w:sz w:val="20"/>
        </w:rPr>
        <w:t xml:space="preserve">using </w:t>
      </w:r>
      <w:r>
        <w:rPr>
          <w:rFonts w:ascii="Arial" w:hAnsi="Arial"/>
          <w:sz w:val="20"/>
        </w:rPr>
        <w:t>capital from the public offering of additional shares in 2022;</w:t>
      </w:r>
    </w:p>
    <w:p w14:paraId="0000000E" w14:textId="0FAF6FC9" w:rsidR="00EA1651" w:rsidRDefault="007A1EF9" w:rsidP="00606A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Proposal on the establishment of the Company's Representative Office;</w:t>
      </w:r>
    </w:p>
    <w:p w14:paraId="0000000F" w14:textId="58602DD0" w:rsidR="00EA1651" w:rsidRDefault="007A1EF9" w:rsidP="00606A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Proposal on amending</w:t>
      </w:r>
      <w:r w:rsidR="00A35A32">
        <w:rPr>
          <w:rFonts w:ascii="Arial" w:hAnsi="Arial"/>
          <w:sz w:val="20"/>
        </w:rPr>
        <w:t xml:space="preserve"> to</w:t>
      </w:r>
      <w:r>
        <w:rPr>
          <w:rFonts w:ascii="Arial" w:hAnsi="Arial"/>
          <w:sz w:val="20"/>
        </w:rPr>
        <w:t xml:space="preserve"> the Company's Charter;</w:t>
      </w:r>
    </w:p>
    <w:p w14:paraId="00000010" w14:textId="7A49AA73" w:rsidR="00EA1651" w:rsidRDefault="007A1EF9" w:rsidP="00606A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Proposal on amending </w:t>
      </w:r>
      <w:r w:rsidR="00A35A32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the Internal Regulations on Corporate Governance;</w:t>
      </w:r>
    </w:p>
    <w:p w14:paraId="00000011" w14:textId="771CF596" w:rsidR="00EA1651" w:rsidRDefault="007A1EF9" w:rsidP="00606A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Proposal on the dismissal and the election of members of the Supervisory Board for replacement in the term of 2024 - 2029;</w:t>
      </w:r>
    </w:p>
    <w:p w14:paraId="00000012" w14:textId="4113EC65" w:rsidR="00EA1651" w:rsidRDefault="007A1EF9" w:rsidP="00606A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Proposal on introducing personnels re</w:t>
      </w:r>
      <w:r w:rsidR="00606A95">
        <w:rPr>
          <w:rFonts w:ascii="Arial" w:hAnsi="Arial"/>
          <w:sz w:val="20"/>
        </w:rPr>
        <w:t xml:space="preserve">placing </w:t>
      </w:r>
      <w:r>
        <w:rPr>
          <w:rFonts w:ascii="Arial" w:hAnsi="Arial"/>
          <w:sz w:val="20"/>
        </w:rPr>
        <w:t>members of the Supervisory Board in the term of 2024 - 2029;</w:t>
      </w:r>
    </w:p>
    <w:p w14:paraId="00000013" w14:textId="7B1679B6" w:rsidR="00EA1651" w:rsidRDefault="008E1C81" w:rsidP="00606A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Other contents under the authorities of the </w:t>
      </w:r>
      <w:r w:rsidR="00606A95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(if any).</w:t>
      </w:r>
    </w:p>
    <w:p w14:paraId="00000014" w14:textId="758E90BE" w:rsidR="00EA1651" w:rsidRDefault="008E1C81" w:rsidP="00606A9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2. Authorize the Chair of the Board of Directors of the Company to carry out work related to the organization of the Company's second Annual </w:t>
      </w:r>
      <w:r w:rsidR="00606A95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2024, specifically as follows:</w:t>
      </w:r>
    </w:p>
    <w:p w14:paraId="00000015" w14:textId="023FBB6E" w:rsidR="00EA1651" w:rsidRDefault="00606A95" w:rsidP="00606A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Decide to change the date</w:t>
      </w:r>
      <w:r w:rsidR="008E1C81">
        <w:rPr>
          <w:rFonts w:ascii="Arial" w:hAnsi="Arial"/>
          <w:sz w:val="20"/>
        </w:rPr>
        <w:t>, venue, and content</w:t>
      </w:r>
      <w:r w:rsidR="00A35A32">
        <w:rPr>
          <w:rFonts w:ascii="Arial" w:hAnsi="Arial"/>
          <w:sz w:val="20"/>
        </w:rPr>
        <w:t>s</w:t>
      </w:r>
      <w:r w:rsidR="008E1C81">
        <w:rPr>
          <w:rFonts w:ascii="Arial" w:hAnsi="Arial"/>
          <w:sz w:val="20"/>
        </w:rPr>
        <w:t xml:space="preserve"> of the meeting;</w:t>
      </w:r>
    </w:p>
    <w:p w14:paraId="00000016" w14:textId="1A7BD483" w:rsidR="00EA1651" w:rsidRDefault="008E1C81" w:rsidP="00606A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Prepare documents, contents to submit to the </w:t>
      </w:r>
      <w:r w:rsidR="00606A95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for approval and adjust and </w:t>
      </w:r>
      <w:r>
        <w:rPr>
          <w:rFonts w:ascii="Arial" w:hAnsi="Arial"/>
          <w:sz w:val="20"/>
        </w:rPr>
        <w:lastRenderedPageBreak/>
        <w:t>supplement other relevant documents and contents;</w:t>
      </w:r>
    </w:p>
    <w:p w14:paraId="00000017" w14:textId="50CCE309" w:rsidR="00EA1651" w:rsidRDefault="008E1C81" w:rsidP="00606A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Carry out necessary related work</w:t>
      </w:r>
      <w:r w:rsidR="00A35A3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to organize the second Annual </w:t>
      </w:r>
      <w:r w:rsidR="00606A95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2024 to ensure compliance with </w:t>
      </w:r>
      <w:r w:rsidR="00606A95">
        <w:rPr>
          <w:rFonts w:ascii="Arial" w:hAnsi="Arial"/>
          <w:sz w:val="20"/>
        </w:rPr>
        <w:t>applicable laws</w:t>
      </w:r>
      <w:r>
        <w:rPr>
          <w:rFonts w:ascii="Arial" w:hAnsi="Arial"/>
          <w:sz w:val="20"/>
        </w:rPr>
        <w:t xml:space="preserve"> and the Company's Charter.</w:t>
      </w:r>
    </w:p>
    <w:p w14:paraId="00000018" w14:textId="03248870" w:rsidR="00EA1651" w:rsidRDefault="008E1C81" w:rsidP="00606A9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3. This </w:t>
      </w:r>
      <w:r w:rsidR="00606A95">
        <w:rPr>
          <w:rFonts w:ascii="Arial" w:hAnsi="Arial"/>
          <w:sz w:val="20"/>
        </w:rPr>
        <w:t xml:space="preserve">Board </w:t>
      </w:r>
      <w:r>
        <w:rPr>
          <w:rFonts w:ascii="Arial" w:hAnsi="Arial"/>
          <w:sz w:val="20"/>
        </w:rPr>
        <w:t xml:space="preserve">Resolution takes effect from the date of its signing. </w:t>
      </w:r>
      <w:r w:rsidR="00A35A32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embers</w:t>
      </w:r>
      <w:r w:rsidR="00606A95">
        <w:rPr>
          <w:rFonts w:ascii="Arial" w:hAnsi="Arial"/>
          <w:sz w:val="20"/>
        </w:rPr>
        <w:t xml:space="preserve"> of the Board of Directors, Supervisory Board and Executive Board </w:t>
      </w:r>
      <w:r>
        <w:rPr>
          <w:rFonts w:ascii="Arial" w:hAnsi="Arial"/>
          <w:sz w:val="20"/>
        </w:rPr>
        <w:t xml:space="preserve">of the Company and </w:t>
      </w:r>
      <w:r w:rsidR="00606A95">
        <w:rPr>
          <w:rFonts w:ascii="Arial" w:hAnsi="Arial"/>
          <w:sz w:val="20"/>
        </w:rPr>
        <w:t>related</w:t>
      </w:r>
      <w:bookmarkStart w:id="0" w:name="_GoBack"/>
      <w:bookmarkEnd w:id="0"/>
      <w:r>
        <w:rPr>
          <w:rFonts w:ascii="Arial" w:hAnsi="Arial"/>
          <w:sz w:val="20"/>
        </w:rPr>
        <w:t xml:space="preserve"> departments are responsible for the implementation of this Resolution.</w:t>
      </w:r>
    </w:p>
    <w:p w14:paraId="00000019" w14:textId="77777777" w:rsidR="00EA1651" w:rsidRDefault="00EA1651" w:rsidP="00606A95">
      <w:pP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EA1651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  <w:embedRegular r:id="rId1" w:fontKey="{27ADF428-3CA7-4933-B506-D15F5D938D1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D46299D9-7A8B-4D60-A58A-60EB80994B5F}"/>
    <w:embedItalic r:id="rId3" w:fontKey="{40F35A3A-8C22-4D40-B9C7-BD740E59BD72}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378BF967-8C9B-4822-A129-4BC09B364995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5" w:fontKey="{7BC5A61D-C003-47E0-9740-0F97E905599D}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34F"/>
    <w:multiLevelType w:val="multilevel"/>
    <w:tmpl w:val="14CE7A6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B465B1"/>
    <w:multiLevelType w:val="multilevel"/>
    <w:tmpl w:val="F29E429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8E1E45"/>
    <w:multiLevelType w:val="multilevel"/>
    <w:tmpl w:val="045699D2"/>
    <w:lvl w:ilvl="0">
      <w:start w:val="1"/>
      <w:numFmt w:val="bullet"/>
      <w:lvlText w:val="❖"/>
      <w:lvlJc w:val="left"/>
      <w:pPr>
        <w:ind w:left="11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51"/>
    <w:rsid w:val="00606A95"/>
    <w:rsid w:val="007A1EF9"/>
    <w:rsid w:val="008E1C81"/>
    <w:rsid w:val="00A35A32"/>
    <w:rsid w:val="00E342A2"/>
    <w:rsid w:val="00E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8523"/>
  <w15:docId w15:val="{60870E2A-4E48-455D-9BD5-8CC986B6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6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31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1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B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xyJB87T0wharwZXE3qKoI13+zw==">CgMxLjA4AHIhMTBmWUpnZU9fSzY4MlVhU2dodFBtRHZXb2JINmVvSDZU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2024-07-05T04:41:00Z</dcterms:created>
  <dcterms:modified xsi:type="dcterms:W3CDTF">2024-07-05T04:41:00Z</dcterms:modified>
</cp:coreProperties>
</file>