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0B03">
        <w:rPr>
          <w:rFonts w:ascii="Arial" w:hAnsi="Arial" w:cs="Arial"/>
          <w:b/>
          <w:color w:val="010000"/>
          <w:sz w:val="20"/>
        </w:rPr>
        <w:t>CKV: Annual General Mandate 2024</w:t>
      </w:r>
      <w:bookmarkStart w:id="0" w:name="_GoBack"/>
      <w:bookmarkEnd w:id="0"/>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 xml:space="preserve">On June 28, 2024, COKYVINA JSC announced General Mandate </w:t>
      </w:r>
      <w:r w:rsidR="00FA4349" w:rsidRPr="000C0B03">
        <w:rPr>
          <w:rFonts w:ascii="Arial" w:hAnsi="Arial" w:cs="Arial"/>
          <w:color w:val="010000"/>
          <w:sz w:val="20"/>
        </w:rPr>
        <w:t xml:space="preserve">No. </w:t>
      </w:r>
      <w:r w:rsidRPr="000C0B03">
        <w:rPr>
          <w:rFonts w:ascii="Arial" w:hAnsi="Arial" w:cs="Arial"/>
          <w:color w:val="010000"/>
          <w:sz w:val="20"/>
        </w:rPr>
        <w:t>01/NQ-DHDCD-CKV as follows:</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 xml:space="preserve">‎‎Article 1. Approve the Report of the Board of </w:t>
      </w:r>
      <w:r w:rsidR="00533617" w:rsidRPr="000C0B03">
        <w:rPr>
          <w:rFonts w:ascii="Arial" w:hAnsi="Arial" w:cs="Arial"/>
          <w:color w:val="010000"/>
          <w:sz w:val="20"/>
        </w:rPr>
        <w:t>Directors</w:t>
      </w:r>
      <w:r w:rsidRPr="000C0B03">
        <w:rPr>
          <w:rFonts w:ascii="Arial" w:hAnsi="Arial" w:cs="Arial"/>
          <w:color w:val="010000"/>
          <w:sz w:val="20"/>
        </w:rPr>
        <w:t xml:space="preserve"> on activities in 2023, and the orientation and tasks for 2024.</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2. Approve the Report on the production and business results in 2023, and the production and business plan for 2024 with the following main targets:</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The production and business results of the Company in 2023:</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2364"/>
        <w:gridCol w:w="2258"/>
        <w:gridCol w:w="1843"/>
        <w:gridCol w:w="1924"/>
      </w:tblGrid>
      <w:tr w:rsidR="00CF2246" w:rsidRPr="000C0B03" w:rsidTr="00FA4349">
        <w:tc>
          <w:tcPr>
            <w:tcW w:w="348" w:type="pct"/>
            <w:shd w:val="clear" w:color="auto" w:fill="auto"/>
            <w:tcMar>
              <w:top w:w="0" w:type="dxa"/>
              <w:bottom w:w="0" w:type="dxa"/>
            </w:tcMar>
            <w:vAlign w:val="center"/>
          </w:tcPr>
          <w:p w:rsidR="00CF2246" w:rsidRPr="000C0B03" w:rsidRDefault="00FA4349"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 xml:space="preserve">No. </w:t>
            </w:r>
          </w:p>
        </w:tc>
        <w:tc>
          <w:tcPr>
            <w:tcW w:w="1311"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Targets</w:t>
            </w:r>
          </w:p>
        </w:tc>
        <w:tc>
          <w:tcPr>
            <w:tcW w:w="125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Plan 2023</w:t>
            </w:r>
          </w:p>
        </w:tc>
        <w:tc>
          <w:tcPr>
            <w:tcW w:w="102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Results 2023</w:t>
            </w:r>
          </w:p>
        </w:tc>
        <w:tc>
          <w:tcPr>
            <w:tcW w:w="1067"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Completion rate</w:t>
            </w:r>
          </w:p>
        </w:tc>
      </w:tr>
      <w:tr w:rsidR="00CF2246" w:rsidRPr="000C0B03" w:rsidTr="00FA4349">
        <w:tc>
          <w:tcPr>
            <w:tcW w:w="348"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w:t>
            </w:r>
          </w:p>
        </w:tc>
        <w:tc>
          <w:tcPr>
            <w:tcW w:w="1311"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Total revenue (sales revenue, financial revenue, and other income)</w:t>
            </w:r>
          </w:p>
        </w:tc>
        <w:tc>
          <w:tcPr>
            <w:tcW w:w="125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589,853</w:t>
            </w:r>
          </w:p>
        </w:tc>
        <w:tc>
          <w:tcPr>
            <w:tcW w:w="102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810,343</w:t>
            </w:r>
          </w:p>
        </w:tc>
        <w:tc>
          <w:tcPr>
            <w:tcW w:w="1067"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137%</w:t>
            </w:r>
          </w:p>
        </w:tc>
      </w:tr>
      <w:tr w:rsidR="00CF2246" w:rsidRPr="000C0B03" w:rsidTr="00FA4349">
        <w:tc>
          <w:tcPr>
            <w:tcW w:w="348"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2</w:t>
            </w:r>
          </w:p>
        </w:tc>
        <w:tc>
          <w:tcPr>
            <w:tcW w:w="1311"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Profit after tax</w:t>
            </w:r>
          </w:p>
        </w:tc>
        <w:tc>
          <w:tcPr>
            <w:tcW w:w="125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2,457</w:t>
            </w:r>
          </w:p>
        </w:tc>
        <w:tc>
          <w:tcPr>
            <w:tcW w:w="102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2,472</w:t>
            </w:r>
          </w:p>
        </w:tc>
        <w:tc>
          <w:tcPr>
            <w:tcW w:w="1067"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100%</w:t>
            </w:r>
          </w:p>
        </w:tc>
      </w:tr>
      <w:tr w:rsidR="00CF2246" w:rsidRPr="000C0B03" w:rsidTr="00FA4349">
        <w:tc>
          <w:tcPr>
            <w:tcW w:w="348"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4</w:t>
            </w:r>
          </w:p>
        </w:tc>
        <w:tc>
          <w:tcPr>
            <w:tcW w:w="1311"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Return on equity</w:t>
            </w:r>
          </w:p>
        </w:tc>
        <w:tc>
          <w:tcPr>
            <w:tcW w:w="125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5%</w:t>
            </w:r>
          </w:p>
        </w:tc>
        <w:tc>
          <w:tcPr>
            <w:tcW w:w="102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5%</w:t>
            </w:r>
          </w:p>
        </w:tc>
        <w:tc>
          <w:tcPr>
            <w:tcW w:w="1067"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100%</w:t>
            </w:r>
          </w:p>
        </w:tc>
      </w:tr>
      <w:tr w:rsidR="00CF2246" w:rsidRPr="000C0B03" w:rsidTr="00FA4349">
        <w:tc>
          <w:tcPr>
            <w:tcW w:w="348"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5</w:t>
            </w:r>
          </w:p>
        </w:tc>
        <w:tc>
          <w:tcPr>
            <w:tcW w:w="1311"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Dividend payment rate</w:t>
            </w:r>
          </w:p>
        </w:tc>
        <w:tc>
          <w:tcPr>
            <w:tcW w:w="125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11%</w:t>
            </w:r>
          </w:p>
        </w:tc>
        <w:tc>
          <w:tcPr>
            <w:tcW w:w="102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11%</w:t>
            </w:r>
          </w:p>
        </w:tc>
        <w:tc>
          <w:tcPr>
            <w:tcW w:w="1067"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100%</w:t>
            </w:r>
          </w:p>
        </w:tc>
      </w:tr>
    </w:tbl>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Plan 2024</w:t>
      </w:r>
    </w:p>
    <w:p w:rsidR="00CF2246" w:rsidRPr="000C0B03" w:rsidRDefault="00186AB1" w:rsidP="0025359B">
      <w:pPr>
        <w:numPr>
          <w:ilvl w:val="0"/>
          <w:numId w:val="1"/>
        </w:numPr>
        <w:pBdr>
          <w:top w:val="nil"/>
          <w:left w:val="nil"/>
          <w:bottom w:val="nil"/>
          <w:right w:val="nil"/>
          <w:between w:val="nil"/>
        </w:pBdr>
        <w:tabs>
          <w:tab w:val="left" w:pos="432"/>
          <w:tab w:val="left" w:pos="2758"/>
          <w:tab w:val="left" w:pos="7574"/>
        </w:tabs>
        <w:spacing w:after="120" w:line="360" w:lineRule="auto"/>
        <w:jc w:val="both"/>
        <w:rPr>
          <w:rFonts w:ascii="Arial" w:eastAsia="Arial" w:hAnsi="Arial" w:cs="Arial"/>
          <w:color w:val="010000"/>
          <w:sz w:val="20"/>
          <w:szCs w:val="20"/>
        </w:rPr>
      </w:pPr>
      <w:r w:rsidRPr="000C0B03">
        <w:rPr>
          <w:rFonts w:ascii="Arial" w:hAnsi="Arial" w:cs="Arial"/>
          <w:color w:val="010000"/>
          <w:sz w:val="20"/>
        </w:rPr>
        <w:t>Revenue 2024: VND860,000 million;</w:t>
      </w:r>
    </w:p>
    <w:p w:rsidR="00CF2246" w:rsidRPr="000C0B03" w:rsidRDefault="00186AB1" w:rsidP="0025359B">
      <w:pPr>
        <w:numPr>
          <w:ilvl w:val="0"/>
          <w:numId w:val="1"/>
        </w:numPr>
        <w:pBdr>
          <w:top w:val="nil"/>
          <w:left w:val="nil"/>
          <w:bottom w:val="nil"/>
          <w:right w:val="nil"/>
          <w:between w:val="nil"/>
        </w:pBdr>
        <w:tabs>
          <w:tab w:val="left" w:pos="432"/>
          <w:tab w:val="left" w:pos="2758"/>
          <w:tab w:val="left" w:pos="7853"/>
        </w:tabs>
        <w:spacing w:after="120" w:line="360" w:lineRule="auto"/>
        <w:jc w:val="both"/>
        <w:rPr>
          <w:rFonts w:ascii="Arial" w:eastAsia="Arial" w:hAnsi="Arial" w:cs="Arial"/>
          <w:color w:val="010000"/>
          <w:sz w:val="20"/>
          <w:szCs w:val="20"/>
        </w:rPr>
      </w:pPr>
      <w:r w:rsidRPr="000C0B03">
        <w:rPr>
          <w:rFonts w:ascii="Arial" w:hAnsi="Arial" w:cs="Arial"/>
          <w:color w:val="010000"/>
          <w:sz w:val="20"/>
        </w:rPr>
        <w:t>Profit after tax in 2024: VND2,720 million;</w:t>
      </w:r>
    </w:p>
    <w:p w:rsidR="00CF2246" w:rsidRPr="000C0B03" w:rsidRDefault="00186AB1" w:rsidP="0025359B">
      <w:pPr>
        <w:numPr>
          <w:ilvl w:val="0"/>
          <w:numId w:val="1"/>
        </w:numPr>
        <w:pBdr>
          <w:top w:val="nil"/>
          <w:left w:val="nil"/>
          <w:bottom w:val="nil"/>
          <w:right w:val="nil"/>
          <w:between w:val="nil"/>
        </w:pBdr>
        <w:tabs>
          <w:tab w:val="left" w:pos="432"/>
          <w:tab w:val="left" w:pos="2758"/>
          <w:tab w:val="left" w:pos="8837"/>
        </w:tabs>
        <w:spacing w:after="120" w:line="360" w:lineRule="auto"/>
        <w:jc w:val="both"/>
        <w:rPr>
          <w:rFonts w:ascii="Arial" w:eastAsia="Arial" w:hAnsi="Arial" w:cs="Arial"/>
          <w:color w:val="010000"/>
          <w:sz w:val="20"/>
          <w:szCs w:val="20"/>
        </w:rPr>
      </w:pPr>
      <w:r w:rsidRPr="000C0B03">
        <w:rPr>
          <w:rFonts w:ascii="Arial" w:hAnsi="Arial" w:cs="Arial"/>
          <w:color w:val="010000"/>
          <w:sz w:val="20"/>
        </w:rPr>
        <w:t>Return on equity: 5.53%;</w:t>
      </w:r>
    </w:p>
    <w:p w:rsidR="00CF2246" w:rsidRPr="000C0B03" w:rsidRDefault="00186AB1" w:rsidP="0025359B">
      <w:pPr>
        <w:numPr>
          <w:ilvl w:val="0"/>
          <w:numId w:val="1"/>
        </w:numPr>
        <w:pBdr>
          <w:top w:val="nil"/>
          <w:left w:val="nil"/>
          <w:bottom w:val="nil"/>
          <w:right w:val="nil"/>
          <w:between w:val="nil"/>
        </w:pBdr>
        <w:tabs>
          <w:tab w:val="left" w:pos="432"/>
          <w:tab w:val="left" w:pos="2758"/>
          <w:tab w:val="left" w:pos="9149"/>
        </w:tabs>
        <w:spacing w:after="120" w:line="360" w:lineRule="auto"/>
        <w:jc w:val="both"/>
        <w:rPr>
          <w:rFonts w:ascii="Arial" w:eastAsia="Arial" w:hAnsi="Arial" w:cs="Arial"/>
          <w:color w:val="010000"/>
          <w:sz w:val="20"/>
          <w:szCs w:val="20"/>
        </w:rPr>
      </w:pPr>
      <w:r w:rsidRPr="000C0B03">
        <w:rPr>
          <w:rFonts w:ascii="Arial" w:hAnsi="Arial" w:cs="Arial"/>
          <w:color w:val="010000"/>
          <w:sz w:val="20"/>
        </w:rPr>
        <w:t>Dividend payment rate in 2024: 5%.</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3. Approve the Reports of the Supervisory Board in 2023, and the orientation and tasks for 2024.</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4. Approve the Audited Financial Statements 2023 of the Company.</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0C0B03">
        <w:rPr>
          <w:rFonts w:ascii="Arial" w:hAnsi="Arial" w:cs="Arial"/>
          <w:color w:val="010000"/>
          <w:sz w:val="20"/>
        </w:rPr>
        <w:t xml:space="preserve">‎‎Article 5. Approve the plan on profit distribution, and appropriation for funds in 2023 of COKYVINA JSC </w:t>
      </w:r>
      <w:r w:rsidR="00533617" w:rsidRPr="000C0B03">
        <w:rPr>
          <w:rFonts w:ascii="Arial" w:hAnsi="Arial" w:cs="Arial"/>
          <w:color w:val="010000"/>
          <w:sz w:val="20"/>
        </w:rPr>
        <w:t>under</w:t>
      </w:r>
      <w:r w:rsidRPr="000C0B03">
        <w:rPr>
          <w:rFonts w:ascii="Arial" w:hAnsi="Arial" w:cs="Arial"/>
          <w:color w:val="010000"/>
          <w:sz w:val="20"/>
        </w:rPr>
        <w:t xml:space="preserve"> the contents approved at the Meeting, in which the dividend payment rate in 2023 is: 11% and authorize the Board of Directors to decide on the appropriate time to pay dividends in 2023 but not later than August 30, 2024.</w:t>
      </w:r>
    </w:p>
    <w:p w:rsidR="000C0B03" w:rsidRPr="000C0B03" w:rsidRDefault="000C0B03" w:rsidP="0025359B">
      <w:pPr>
        <w:spacing w:after="120" w:line="360" w:lineRule="auto"/>
        <w:jc w:val="both"/>
        <w:rPr>
          <w:rFonts w:ascii="Arial" w:hAnsi="Arial"/>
          <w:color w:val="010000"/>
          <w:sz w:val="20"/>
        </w:rPr>
      </w:pPr>
      <w:r w:rsidRPr="000C0B03">
        <w:rPr>
          <w:rFonts w:ascii="Arial" w:hAnsi="Arial"/>
          <w:color w:val="010000"/>
          <w:sz w:val="20"/>
        </w:rPr>
        <w:t>Profit distribution and appropriation for funds in 2023</w:t>
      </w:r>
    </w:p>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(Unit: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5338"/>
        <w:gridCol w:w="3122"/>
      </w:tblGrid>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No.</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Targets</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Results 2023</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1</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Total profit before tax</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3,023,529,071</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lastRenderedPageBreak/>
              <w:t>2</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Corporate income tax</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550,962,445</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3</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Profit after tax (3 )=(1)-(2)</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2,472,566,626</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 xml:space="preserve">4 </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Appropriation for bonus and welfare funds 2023</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397,568,644</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5</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Undistributed profit after tax</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7,240,311,168</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6</w:t>
            </w:r>
          </w:p>
        </w:tc>
        <w:tc>
          <w:tcPr>
            <w:tcW w:w="296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Dividend payment: 11%</w:t>
            </w:r>
          </w:p>
        </w:tc>
        <w:tc>
          <w:tcPr>
            <w:tcW w:w="1730"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4,413,200,000</w:t>
            </w:r>
          </w:p>
        </w:tc>
      </w:tr>
      <w:tr w:rsidR="000C0B03" w:rsidRPr="000C0B03" w:rsidTr="000C0B03">
        <w:tc>
          <w:tcPr>
            <w:tcW w:w="309" w:type="pct"/>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 xml:space="preserve">7 </w:t>
            </w:r>
          </w:p>
        </w:tc>
        <w:tc>
          <w:tcPr>
            <w:tcW w:w="4691" w:type="pct"/>
            <w:gridSpan w:val="2"/>
            <w:tcBorders>
              <w:top w:val="single" w:sz="4" w:space="0" w:color="auto"/>
              <w:left w:val="single" w:sz="4" w:space="0" w:color="auto"/>
              <w:bottom w:val="single" w:sz="4" w:space="0" w:color="auto"/>
              <w:right w:val="single" w:sz="4" w:space="0" w:color="auto"/>
            </w:tcBorders>
            <w:vAlign w:val="center"/>
            <w:hideMark/>
          </w:tcPr>
          <w:p w:rsidR="000C0B03" w:rsidRPr="000C0B03" w:rsidRDefault="000C0B03" w:rsidP="0025359B">
            <w:pPr>
              <w:spacing w:after="120" w:line="360" w:lineRule="auto"/>
              <w:jc w:val="both"/>
              <w:rPr>
                <w:rFonts w:ascii="Arial" w:eastAsia="Times New Roman" w:hAnsi="Arial" w:cs="Arial"/>
                <w:color w:val="010000"/>
                <w:sz w:val="20"/>
              </w:rPr>
            </w:pPr>
            <w:r w:rsidRPr="000C0B03">
              <w:rPr>
                <w:rFonts w:ascii="Arial" w:hAnsi="Arial"/>
                <w:color w:val="010000"/>
                <w:sz w:val="20"/>
              </w:rPr>
              <w:t>Dividend payment time: Authorize the Board of Directors of the Company to decide on the appropriate time to pay dividends in 2023 but not later than August 30, 2024</w:t>
            </w:r>
          </w:p>
        </w:tc>
      </w:tr>
    </w:tbl>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6. Approve the remuneration payment plan for the Board of Directors and the Supervisory Board in 2023 as follows:</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Remuneration for the Board of Directors and the Supervisory Board in 2023:</w:t>
      </w:r>
    </w:p>
    <w:p w:rsidR="00CF2246" w:rsidRPr="000C0B03" w:rsidRDefault="00186AB1" w:rsidP="0025359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0B03">
        <w:rPr>
          <w:rFonts w:ascii="Arial" w:hAnsi="Arial" w:cs="Arial"/>
          <w:color w:val="010000"/>
          <w:sz w:val="20"/>
        </w:rPr>
        <w:t>Remuneration for the Board of Directors and the Supervisory Board in 2022: VND135,000,000. In which:</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Remuneration for the executive members of the Board of Directors and the Supervisory Board: VND93,913,042.</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Remuneration for the non-executive members of the Board of Directors and the Supervisory Board: VND41,086,958.</w:t>
      </w:r>
    </w:p>
    <w:p w:rsidR="00CF2246" w:rsidRPr="000C0B03" w:rsidRDefault="00186AB1" w:rsidP="0025359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0B03">
        <w:rPr>
          <w:rFonts w:ascii="Arial" w:hAnsi="Arial" w:cs="Arial"/>
          <w:color w:val="010000"/>
          <w:sz w:val="20"/>
        </w:rPr>
        <w:t xml:space="preserve">The Board of Directors submits the remuneration for the executive and non-executive members of </w:t>
      </w:r>
      <w:r w:rsidR="00533617" w:rsidRPr="000C0B03">
        <w:rPr>
          <w:rFonts w:ascii="Arial" w:hAnsi="Arial" w:cs="Arial"/>
          <w:color w:val="010000"/>
          <w:sz w:val="20"/>
        </w:rPr>
        <w:t xml:space="preserve">the </w:t>
      </w:r>
      <w:r w:rsidRPr="000C0B03">
        <w:rPr>
          <w:rFonts w:ascii="Arial" w:hAnsi="Arial" w:cs="Arial"/>
          <w:color w:val="010000"/>
          <w:sz w:val="20"/>
        </w:rPr>
        <w:t>Board of Directors and the Supervisory Board in 2023 as: VND154,000,000.</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7. Approve the remuneration payment plan for the Board of Directors and the Supervisory Board in the fiscal year 2024:</w:t>
      </w:r>
    </w:p>
    <w:p w:rsidR="00CF2246" w:rsidRPr="000C0B03" w:rsidRDefault="00186AB1" w:rsidP="0025359B">
      <w:pPr>
        <w:numPr>
          <w:ilvl w:val="0"/>
          <w:numId w:val="1"/>
        </w:numPr>
        <w:pBdr>
          <w:top w:val="nil"/>
          <w:left w:val="nil"/>
          <w:bottom w:val="nil"/>
          <w:right w:val="nil"/>
          <w:between w:val="nil"/>
        </w:pBdr>
        <w:tabs>
          <w:tab w:val="left" w:pos="432"/>
          <w:tab w:val="left" w:pos="1972"/>
        </w:tabs>
        <w:spacing w:after="120" w:line="360" w:lineRule="auto"/>
        <w:jc w:val="both"/>
        <w:rPr>
          <w:rFonts w:ascii="Arial" w:eastAsia="Arial" w:hAnsi="Arial" w:cs="Arial"/>
          <w:color w:val="010000"/>
          <w:sz w:val="20"/>
          <w:szCs w:val="20"/>
        </w:rPr>
      </w:pPr>
      <w:r w:rsidRPr="000C0B03">
        <w:rPr>
          <w:rFonts w:ascii="Arial" w:hAnsi="Arial" w:cs="Arial"/>
          <w:color w:val="010000"/>
          <w:sz w:val="20"/>
        </w:rPr>
        <w:t>In case of completing (pursuant to the assigned plan) the targets of the profit after tax in 2024, the remuneration for the Board of Directors and the Supervisory Board is: VND169,400,000.</w:t>
      </w:r>
    </w:p>
    <w:p w:rsidR="00CF2246" w:rsidRPr="000C0B03" w:rsidRDefault="00186AB1" w:rsidP="0025359B">
      <w:pPr>
        <w:numPr>
          <w:ilvl w:val="0"/>
          <w:numId w:val="1"/>
        </w:numPr>
        <w:pBdr>
          <w:top w:val="nil"/>
          <w:left w:val="nil"/>
          <w:bottom w:val="nil"/>
          <w:right w:val="nil"/>
          <w:between w:val="nil"/>
        </w:pBdr>
        <w:tabs>
          <w:tab w:val="left" w:pos="432"/>
          <w:tab w:val="left" w:pos="1972"/>
        </w:tabs>
        <w:spacing w:after="120" w:line="360" w:lineRule="auto"/>
        <w:jc w:val="both"/>
        <w:rPr>
          <w:rFonts w:ascii="Arial" w:eastAsia="Arial" w:hAnsi="Arial" w:cs="Arial"/>
          <w:color w:val="010000"/>
          <w:sz w:val="20"/>
          <w:szCs w:val="20"/>
        </w:rPr>
      </w:pPr>
      <w:r w:rsidRPr="000C0B03">
        <w:rPr>
          <w:rFonts w:ascii="Arial" w:hAnsi="Arial" w:cs="Arial"/>
          <w:color w:val="010000"/>
          <w:sz w:val="20"/>
        </w:rPr>
        <w:t>The remuneration for the Board of Directors and the Supervisory Board, in case the realized profit after tax is greater than the assigned plan, will be increased by a maximum of 02% for every 01% of the profit after tax exceeding the plan.; The total realized remuneration fund for the Board of Directors and the Supervisory Board must not exceed 20% of the realized salary level of the executive manager in 2024 (including the executive members of the Board of Directors, the General Manager, the Deputy General Manager, the Chief Accountant, the executive members of the Supervisory Board);</w:t>
      </w:r>
    </w:p>
    <w:p w:rsidR="00CF2246" w:rsidRPr="000C0B03" w:rsidRDefault="00186AB1" w:rsidP="0025359B">
      <w:pPr>
        <w:numPr>
          <w:ilvl w:val="0"/>
          <w:numId w:val="1"/>
        </w:numPr>
        <w:pBdr>
          <w:top w:val="nil"/>
          <w:left w:val="nil"/>
          <w:bottom w:val="nil"/>
          <w:right w:val="nil"/>
          <w:between w:val="nil"/>
        </w:pBdr>
        <w:tabs>
          <w:tab w:val="left" w:pos="432"/>
          <w:tab w:val="left" w:pos="1972"/>
        </w:tabs>
        <w:spacing w:after="120" w:line="360" w:lineRule="auto"/>
        <w:jc w:val="both"/>
        <w:rPr>
          <w:rFonts w:ascii="Arial" w:eastAsia="Arial" w:hAnsi="Arial" w:cs="Arial"/>
          <w:color w:val="010000"/>
          <w:sz w:val="20"/>
          <w:szCs w:val="20"/>
        </w:rPr>
      </w:pPr>
      <w:r w:rsidRPr="000C0B03">
        <w:rPr>
          <w:rFonts w:ascii="Arial" w:hAnsi="Arial" w:cs="Arial"/>
          <w:color w:val="010000"/>
          <w:sz w:val="20"/>
        </w:rPr>
        <w:t>The remuneration for the Board of Directors and the Supervisory Board, in case the realized profit after tax is smaller than the assigned plan, will be decreased by 01% for every 01% decrease in profit after tax compared to the plan.</w:t>
      </w:r>
    </w:p>
    <w:p w:rsidR="00CF2246" w:rsidRPr="000C0B03" w:rsidRDefault="00186AB1" w:rsidP="0025359B">
      <w:pPr>
        <w:numPr>
          <w:ilvl w:val="0"/>
          <w:numId w:val="1"/>
        </w:numPr>
        <w:pBdr>
          <w:top w:val="nil"/>
          <w:left w:val="nil"/>
          <w:bottom w:val="nil"/>
          <w:right w:val="nil"/>
          <w:between w:val="nil"/>
        </w:pBdr>
        <w:tabs>
          <w:tab w:val="left" w:pos="432"/>
          <w:tab w:val="left" w:pos="1972"/>
        </w:tabs>
        <w:spacing w:after="120" w:line="360" w:lineRule="auto"/>
        <w:jc w:val="both"/>
        <w:rPr>
          <w:rFonts w:ascii="Arial" w:eastAsia="Arial" w:hAnsi="Arial" w:cs="Arial"/>
          <w:color w:val="010000"/>
          <w:sz w:val="20"/>
          <w:szCs w:val="20"/>
        </w:rPr>
      </w:pPr>
      <w:bookmarkStart w:id="1" w:name="_heading=h.gjdgxs"/>
      <w:bookmarkEnd w:id="1"/>
      <w:r w:rsidRPr="000C0B03">
        <w:rPr>
          <w:rFonts w:ascii="Arial" w:hAnsi="Arial" w:cs="Arial"/>
          <w:color w:val="010000"/>
          <w:sz w:val="20"/>
        </w:rPr>
        <w:t>In case the Company records a loss: there will be no remuneration.</w:t>
      </w:r>
    </w:p>
    <w:p w:rsidR="00533617" w:rsidRPr="000C0B03" w:rsidRDefault="00186AB1" w:rsidP="0025359B">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0C0B03">
        <w:rPr>
          <w:rFonts w:ascii="Arial" w:hAnsi="Arial" w:cs="Arial"/>
          <w:color w:val="010000"/>
          <w:sz w:val="20"/>
        </w:rPr>
        <w:t>‎‎Article 8. Approve authorizing the Board of Directors of the Company to select an audit company for the Financial Statements 2024 in accordance with the current provisions of Law. ‎‎</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lastRenderedPageBreak/>
        <w:t>Article 9. Approve authorizing the Board of Directors of the Company to select an internal audit company for 2024 in accordance with the current provisions of Law.</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10. Approve the dismissal of the position of member of the Board of Directors for Ms. Phan Thi Thanh Sam from June 28, 2024.</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11. Approve the dismissal of the position of member of the Supervisory Board for Ms. Nguyen Thi Tam from June 28, 2024.</w:t>
      </w:r>
    </w:p>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12. Approve the election results of additional members for the Board of Directors, and the Supervisory Board in the term of 2020 - 2025 as announced in the Vote Counting Minutes,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46"/>
        <w:gridCol w:w="7271"/>
      </w:tblGrid>
      <w:tr w:rsidR="00CF2246" w:rsidRPr="000C0B03" w:rsidTr="00FA4349">
        <w:tc>
          <w:tcPr>
            <w:tcW w:w="968" w:type="pct"/>
            <w:shd w:val="clear" w:color="auto" w:fill="auto"/>
            <w:tcMar>
              <w:top w:w="0" w:type="dxa"/>
              <w:bottom w:w="0" w:type="dxa"/>
            </w:tcMar>
            <w:vAlign w:val="center"/>
          </w:tcPr>
          <w:p w:rsidR="00CF2246" w:rsidRPr="000C0B03" w:rsidRDefault="00FA4349"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 xml:space="preserve">No. </w:t>
            </w:r>
          </w:p>
        </w:tc>
        <w:tc>
          <w:tcPr>
            <w:tcW w:w="403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Name of candidate</w:t>
            </w:r>
          </w:p>
        </w:tc>
      </w:tr>
      <w:tr w:rsidR="00CF2246" w:rsidRPr="000C0B03" w:rsidTr="00FA4349">
        <w:tc>
          <w:tcPr>
            <w:tcW w:w="968"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1</w:t>
            </w:r>
          </w:p>
        </w:tc>
        <w:tc>
          <w:tcPr>
            <w:tcW w:w="403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Mr. Nong Van Hieu - Member of the Board of Directors</w:t>
            </w:r>
          </w:p>
        </w:tc>
      </w:tr>
      <w:tr w:rsidR="00CF2246" w:rsidRPr="000C0B03" w:rsidTr="00FA4349">
        <w:tc>
          <w:tcPr>
            <w:tcW w:w="968"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2</w:t>
            </w:r>
          </w:p>
        </w:tc>
        <w:tc>
          <w:tcPr>
            <w:tcW w:w="4032" w:type="pct"/>
            <w:shd w:val="clear" w:color="auto" w:fill="auto"/>
            <w:tcMar>
              <w:top w:w="0" w:type="dxa"/>
              <w:bottom w:w="0" w:type="dxa"/>
            </w:tcMar>
            <w:vAlign w:val="center"/>
          </w:tcPr>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Mr. Ta Quang Hiep - Member of the Supervisory Board</w:t>
            </w:r>
          </w:p>
        </w:tc>
      </w:tr>
    </w:tbl>
    <w:p w:rsidR="00CF2246" w:rsidRPr="000C0B03" w:rsidRDefault="00186AB1" w:rsidP="00253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B03">
        <w:rPr>
          <w:rFonts w:ascii="Arial" w:hAnsi="Arial" w:cs="Arial"/>
          <w:color w:val="010000"/>
          <w:sz w:val="20"/>
        </w:rPr>
        <w:t>‎‎Article 13. This General Mandate was approved by the General Meeting of Shareholders 2024 and takes effect from the date of its signing. This General Mandate is stored at the Company pursuant to regulations./.</w:t>
      </w:r>
    </w:p>
    <w:sectPr w:rsidR="00CF2246" w:rsidRPr="000C0B03" w:rsidSect="00FA434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CC7"/>
    <w:multiLevelType w:val="multilevel"/>
    <w:tmpl w:val="F0B03A9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94191A"/>
    <w:multiLevelType w:val="multilevel"/>
    <w:tmpl w:val="751054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6"/>
    <w:rsid w:val="000C0B03"/>
    <w:rsid w:val="00186AB1"/>
    <w:rsid w:val="0025359B"/>
    <w:rsid w:val="00533617"/>
    <w:rsid w:val="00CF2246"/>
    <w:rsid w:val="00FA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68CCC7-6E7E-4D2F-B3B9-DCF62C6B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33292F"/>
      <w:sz w:val="52"/>
      <w:szCs w:val="5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color w:val="33292F"/>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Other0">
    <w:name w:val="Other"/>
    <w:basedOn w:val="Normal"/>
    <w:link w:val="Other"/>
    <w:pPr>
      <w:spacing w:line="276" w:lineRule="auto"/>
    </w:pPr>
    <w:rPr>
      <w:rFonts w:ascii="Times New Roman" w:eastAsia="Times New Roman" w:hAnsi="Times New Roman" w:cs="Times New Roman"/>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11">
    <w:name w:val="Heading #1"/>
    <w:basedOn w:val="Normal"/>
    <w:link w:val="Heading10"/>
    <w:pPr>
      <w:ind w:left="1680"/>
      <w:outlineLvl w:val="0"/>
    </w:pPr>
    <w:rPr>
      <w:rFonts w:ascii="Arial" w:eastAsia="Arial" w:hAnsi="Arial" w:cs="Arial"/>
      <w:color w:val="33292F"/>
      <w:sz w:val="52"/>
      <w:szCs w:val="52"/>
    </w:rPr>
  </w:style>
  <w:style w:type="paragraph" w:customStyle="1" w:styleId="Heading41">
    <w:name w:val="Heading #4"/>
    <w:basedOn w:val="Normal"/>
    <w:link w:val="Heading40"/>
    <w:pPr>
      <w:spacing w:line="283" w:lineRule="auto"/>
      <w:ind w:left="2660"/>
      <w:jc w:val="center"/>
      <w:outlineLvl w:val="3"/>
    </w:pPr>
    <w:rPr>
      <w:rFonts w:ascii="Times New Roman" w:eastAsia="Times New Roman" w:hAnsi="Times New Roman" w:cs="Times New Roman"/>
      <w:b/>
      <w:bCs/>
      <w:color w:val="33292F"/>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NAcx1L9FAyog+yGxirCLJFTwQ==">CgMxLjAyCGguZ2pkZ3hzOAByITE0VWI0b3RaQUg0VTNUbG52bnJSZm1ZMHU0ZFh4aE8wXw==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2024-07-03T08:18:00Z</dcterms:created>
  <dcterms:modified xsi:type="dcterms:W3CDTF">2024-07-05T02:41:00Z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526b48be3358088f689b0198907ba157948d51519412afad8eded41782f89a77</vt:lpwstr>
  </property>
</Properties>
</file>