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4197" w:rsidRDefault="00944030" w:rsidP="007E1F0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CLX: Board Resolution</w:t>
      </w:r>
    </w:p>
    <w:p w14:paraId="00000002" w14:textId="6DBAA75D" w:rsidR="00D54197" w:rsidRDefault="00944030" w:rsidP="007E1F0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10000"/>
          <w:sz w:val="20"/>
        </w:rPr>
        <w:t>On July 01, 2024, Cho Lon Investment and Import Export Corporation announced Resolution No. 03/NQ-CHOLIMEX-HDQT as follows:</w:t>
      </w:r>
    </w:p>
    <w:p w14:paraId="00000003" w14:textId="7A38AD53" w:rsidR="00D54197" w:rsidRDefault="00944030" w:rsidP="007E1F0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1. Approve</w:t>
      </w:r>
      <w:r w:rsidR="007E03D4">
        <w:rPr>
          <w:rFonts w:ascii="Arial" w:hAnsi="Arial"/>
          <w:sz w:val="20"/>
        </w:rPr>
        <w:t xml:space="preserve"> on</w:t>
      </w:r>
      <w:r>
        <w:rPr>
          <w:rFonts w:ascii="Arial" w:hAnsi="Arial"/>
          <w:sz w:val="20"/>
        </w:rPr>
        <w:t xml:space="preserve"> the dividend payment in 2023 of Cho Lon Investment and Import Export Corporation as follows:</w:t>
      </w:r>
    </w:p>
    <w:p w14:paraId="00000004" w14:textId="77777777" w:rsidR="00D54197" w:rsidRDefault="00944030" w:rsidP="007E1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22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record date for the list of shareholders to receive dividends: July 12, 2024.</w:t>
      </w:r>
    </w:p>
    <w:p w14:paraId="00000005" w14:textId="77777777" w:rsidR="00D54197" w:rsidRDefault="00944030" w:rsidP="007E1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25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Dividend payment rate: 7%/par value (VND700/share).</w:t>
      </w:r>
    </w:p>
    <w:p w14:paraId="00000006" w14:textId="77777777" w:rsidR="00D54197" w:rsidRDefault="00944030" w:rsidP="007E1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25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Payment method: In cash or bank transfer.</w:t>
      </w:r>
    </w:p>
    <w:p w14:paraId="00000007" w14:textId="77777777" w:rsidR="00D54197" w:rsidRDefault="00944030" w:rsidP="007E1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26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Payment date: July 30, 2024.</w:t>
      </w:r>
    </w:p>
    <w:p w14:paraId="00000008" w14:textId="2C0A0683" w:rsidR="00D54197" w:rsidRDefault="00944030" w:rsidP="007E1F0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2. Assign the Company's </w:t>
      </w:r>
      <w:r w:rsidR="007E1F0B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to carry out rele</w:t>
      </w:r>
      <w:r w:rsidR="007E1F0B">
        <w:rPr>
          <w:rFonts w:ascii="Arial" w:hAnsi="Arial"/>
          <w:sz w:val="20"/>
        </w:rPr>
        <w:t>vant procedures to pay 2023 dividend</w:t>
      </w:r>
      <w:bookmarkStart w:id="0" w:name="_GoBack"/>
      <w:bookmarkEnd w:id="0"/>
      <w:r>
        <w:rPr>
          <w:rFonts w:ascii="Arial" w:hAnsi="Arial"/>
          <w:sz w:val="20"/>
        </w:rPr>
        <w:t xml:space="preserve"> to shareholders </w:t>
      </w:r>
      <w:r w:rsidR="007E1F0B">
        <w:rPr>
          <w:rFonts w:ascii="Arial" w:hAnsi="Arial"/>
          <w:sz w:val="20"/>
        </w:rPr>
        <w:t>as per</w:t>
      </w:r>
      <w:r>
        <w:rPr>
          <w:rFonts w:ascii="Arial" w:hAnsi="Arial"/>
          <w:sz w:val="20"/>
        </w:rPr>
        <w:t xml:space="preserve"> regulations.</w:t>
      </w:r>
    </w:p>
    <w:p w14:paraId="00000009" w14:textId="400618CF" w:rsidR="00D54197" w:rsidRDefault="00944030" w:rsidP="007E1F0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3. This </w:t>
      </w:r>
      <w:r w:rsidR="007E1F0B">
        <w:rPr>
          <w:rFonts w:ascii="Arial" w:hAnsi="Arial"/>
          <w:sz w:val="20"/>
        </w:rPr>
        <w:t xml:space="preserve">Board </w:t>
      </w:r>
      <w:r>
        <w:rPr>
          <w:rFonts w:ascii="Arial" w:hAnsi="Arial"/>
          <w:sz w:val="20"/>
        </w:rPr>
        <w:t xml:space="preserve">Resolution takes effect from the date of its signing. The Board of Directors, </w:t>
      </w:r>
      <w:r w:rsidR="007E1F0B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of Cho Lon Investmen</w:t>
      </w:r>
      <w:r w:rsidR="007E1F0B">
        <w:rPr>
          <w:rFonts w:ascii="Arial" w:hAnsi="Arial"/>
          <w:sz w:val="20"/>
        </w:rPr>
        <w:t>t and Import Export Corporation</w:t>
      </w:r>
      <w:r>
        <w:rPr>
          <w:rFonts w:ascii="Arial" w:hAnsi="Arial"/>
          <w:sz w:val="20"/>
        </w:rPr>
        <w:t xml:space="preserve"> and </w:t>
      </w:r>
      <w:r w:rsidR="007E1F0B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departments and individuals are responsible for the implemention of this Resolution./.</w:t>
      </w:r>
    </w:p>
    <w:p w14:paraId="0000000A" w14:textId="77777777" w:rsidR="00D54197" w:rsidRDefault="00D54197" w:rsidP="007E1F0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D54197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57D1"/>
    <w:multiLevelType w:val="multilevel"/>
    <w:tmpl w:val="606EF5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97"/>
    <w:rsid w:val="007E03D4"/>
    <w:rsid w:val="007E1F0B"/>
    <w:rsid w:val="00944030"/>
    <w:rsid w:val="00A25864"/>
    <w:rsid w:val="00D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7509"/>
  <w15:docId w15:val="{F320726A-3C0D-4000-BDB3-0F9C7E5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BE4F67"/>
      <w:sz w:val="14"/>
      <w:szCs w:val="1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Arial" w:eastAsia="Arial" w:hAnsi="Arial" w:cs="Arial"/>
      <w:sz w:val="8"/>
      <w:szCs w:val="8"/>
    </w:rPr>
  </w:style>
  <w:style w:type="paragraph" w:customStyle="1" w:styleId="Bodytext50">
    <w:name w:val="Body text (5)"/>
    <w:basedOn w:val="Normal"/>
    <w:link w:val="Bodytext5"/>
    <w:pPr>
      <w:ind w:left="2530"/>
      <w:jc w:val="right"/>
    </w:pPr>
    <w:rPr>
      <w:rFonts w:ascii="Arial" w:eastAsia="Arial" w:hAnsi="Arial" w:cs="Arial"/>
      <w:b/>
      <w:bCs/>
      <w:color w:val="BE4F67"/>
      <w:sz w:val="14"/>
      <w:szCs w:val="14"/>
    </w:rPr>
  </w:style>
  <w:style w:type="paragraph" w:styleId="NormalWeb">
    <w:name w:val="Normal (Web)"/>
    <w:basedOn w:val="Normal"/>
    <w:uiPriority w:val="99"/>
    <w:unhideWhenUsed/>
    <w:rsid w:val="00E20F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a5s6Nut0GLX4EN2vupycZbxj9Q==">CgMxLjA4AHIhMVJkcEt4SUkzc0NOeFZOVjM0YzJzQWVxVkhFTU90Z1ZM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2024-07-05T04:43:00Z</dcterms:created>
  <dcterms:modified xsi:type="dcterms:W3CDTF">2024-07-05T04:43:00Z</dcterms:modified>
</cp:coreProperties>
</file>