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77F7F" w14:textId="77777777" w:rsidR="001D7743" w:rsidRDefault="00257862" w:rsidP="00A161D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  <w:tab w:val="left" w:pos="630"/>
        </w:tabs>
        <w:spacing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/>
          <w:b/>
          <w:color w:val="010000"/>
          <w:sz w:val="20"/>
        </w:rPr>
        <w:t>CLX: Board Resolution</w:t>
      </w:r>
    </w:p>
    <w:p w14:paraId="62E31DB3" w14:textId="458FF5F2" w:rsidR="001D7743" w:rsidRDefault="00257862" w:rsidP="00A161D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  <w:tab w:val="left" w:pos="63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10000"/>
          <w:sz w:val="20"/>
        </w:rPr>
        <w:t>On July 01, 2024, Cho Lon Investment and Import Export Corporation announced Resolution No.05/NQ-CHOLIMEX-HDQT as follows:</w:t>
      </w:r>
    </w:p>
    <w:p w14:paraId="3DF751D1" w14:textId="02B86482" w:rsidR="001D7743" w:rsidRDefault="00257862" w:rsidP="00A161D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1. Approve on amending and supplementing the</w:t>
      </w:r>
      <w:r w:rsidR="00A161D5">
        <w:rPr>
          <w:rFonts w:ascii="Arial" w:hAnsi="Arial"/>
          <w:sz w:val="20"/>
        </w:rPr>
        <w:t xml:space="preserve"> O</w:t>
      </w:r>
      <w:bookmarkStart w:id="0" w:name="_GoBack"/>
      <w:bookmarkEnd w:id="0"/>
      <w:r w:rsidR="002A75FD">
        <w:rPr>
          <w:rFonts w:ascii="Arial" w:hAnsi="Arial"/>
          <w:sz w:val="20"/>
        </w:rPr>
        <w:t>perational</w:t>
      </w:r>
      <w:r>
        <w:rPr>
          <w:rFonts w:ascii="Arial" w:hAnsi="Arial"/>
          <w:sz w:val="20"/>
        </w:rPr>
        <w:t xml:space="preserve"> Charter</w:t>
      </w:r>
      <w:r w:rsidR="002A75F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of Vinh Loc Industrial Park Co., Ltd as follows:</w:t>
      </w:r>
    </w:p>
    <w:p w14:paraId="540A8715" w14:textId="77777777" w:rsidR="001D7743" w:rsidRDefault="00257862" w:rsidP="00A1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  <w:tab w:val="left" w:pos="1218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Amend Clause 1, Article 17:</w:t>
      </w:r>
    </w:p>
    <w:tbl>
      <w:tblPr>
        <w:tblStyle w:val="a"/>
        <w:tblW w:w="9016" w:type="dxa"/>
        <w:tblLayout w:type="fixed"/>
        <w:tblLook w:val="0000" w:firstRow="0" w:lastRow="0" w:firstColumn="0" w:lastColumn="0" w:noHBand="0" w:noVBand="0"/>
      </w:tblPr>
      <w:tblGrid>
        <w:gridCol w:w="2324"/>
        <w:gridCol w:w="3403"/>
        <w:gridCol w:w="3289"/>
      </w:tblGrid>
      <w:tr w:rsidR="001D7743" w14:paraId="50ED6793" w14:textId="77777777">
        <w:trPr>
          <w:trHeight w:val="57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2ED0766" w14:textId="77777777" w:rsidR="001D7743" w:rsidRDefault="00257862" w:rsidP="0025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54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Article</w:t>
            </w: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A419491" w14:textId="77777777" w:rsidR="001D7743" w:rsidRDefault="00257862" w:rsidP="0025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54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Contents of amendment</w:t>
            </w:r>
          </w:p>
        </w:tc>
      </w:tr>
      <w:tr w:rsidR="001D7743" w14:paraId="177FC7A2" w14:textId="77777777">
        <w:trPr>
          <w:trHeight w:val="120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EAB57A2" w14:textId="77777777" w:rsidR="001D7743" w:rsidRDefault="00257862" w:rsidP="0025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54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Article 17: Rights and obligations of the Board of Members.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E4DA48A" w14:textId="77777777" w:rsidR="001D7743" w:rsidRDefault="00257862" w:rsidP="0025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54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Current Charter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3AE0EF0" w14:textId="77777777" w:rsidR="001D7743" w:rsidRDefault="00257862" w:rsidP="0025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54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Amended Charter</w:t>
            </w:r>
          </w:p>
        </w:tc>
      </w:tr>
      <w:tr w:rsidR="001D7743" w14:paraId="78D33CCD" w14:textId="77777777">
        <w:trPr>
          <w:trHeight w:val="438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1A5F68" w14:textId="77777777" w:rsidR="001D7743" w:rsidRDefault="00257862" w:rsidP="0025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54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Clause 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ACACC2F" w14:textId="7087FE2A" w:rsidR="001D7743" w:rsidRDefault="00257862" w:rsidP="0025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54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Decide and submit to the Owner for approval of the Company's development strategies, long-term, medium-term and annual plans; investment portfolio, main business lines and businesses </w:t>
            </w:r>
            <w:r w:rsidR="002A75FD">
              <w:rPr>
                <w:rFonts w:ascii="Arial" w:hAnsi="Arial"/>
                <w:sz w:val="20"/>
              </w:rPr>
              <w:t xml:space="preserve">which are </w:t>
            </w:r>
            <w:r>
              <w:rPr>
                <w:rFonts w:ascii="Arial" w:hAnsi="Arial"/>
                <w:sz w:val="20"/>
              </w:rPr>
              <w:t>not related to the main business lines of the Company; Adjusting and supplementing the Company's main business lines at the request of the Company's General Manager.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107F1C8" w14:textId="755DE5C7" w:rsidR="001D7743" w:rsidRDefault="00257862" w:rsidP="00A16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  <w:tab w:val="left" w:pos="54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Submit to the Owner for approval the Company's development strategies, long-term, medium-term and annual plans; investment portfolio, main business lines and businesses</w:t>
            </w:r>
            <w:r w:rsidR="002A75FD">
              <w:rPr>
                <w:rFonts w:ascii="Arial" w:hAnsi="Arial"/>
                <w:sz w:val="20"/>
              </w:rPr>
              <w:t xml:space="preserve"> which are</w:t>
            </w:r>
            <w:r>
              <w:rPr>
                <w:rFonts w:ascii="Arial" w:hAnsi="Arial"/>
                <w:sz w:val="20"/>
              </w:rPr>
              <w:t xml:space="preserve"> not related to the main business lines of the Company; Adjusting and supplementing the Company's main business lines at the request of the Company's </w:t>
            </w:r>
            <w:r w:rsidR="00A161D5">
              <w:rPr>
                <w:rFonts w:ascii="Arial" w:hAnsi="Arial"/>
                <w:sz w:val="20"/>
              </w:rPr>
              <w:t>Managing Director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</w:tbl>
    <w:p w14:paraId="0AB2C74A" w14:textId="1348C26F" w:rsidR="001D7743" w:rsidRDefault="00257862" w:rsidP="00A161D5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  <w:tab w:val="left" w:pos="148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Supplement business names and </w:t>
      </w:r>
      <w:r w:rsidR="002A75FD">
        <w:rPr>
          <w:rFonts w:ascii="Arial" w:hAnsi="Arial"/>
          <w:sz w:val="20"/>
        </w:rPr>
        <w:t>business</w:t>
      </w:r>
      <w:r>
        <w:rPr>
          <w:rFonts w:ascii="Arial" w:hAnsi="Arial"/>
          <w:sz w:val="20"/>
        </w:rPr>
        <w:t xml:space="preserve"> codes in Clause 2, Article 5:</w:t>
      </w:r>
    </w:p>
    <w:p w14:paraId="07942313" w14:textId="77777777" w:rsidR="001D7743" w:rsidRDefault="00257862" w:rsidP="00A161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  <w:tab w:val="left" w:pos="1372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Name of business: Retailing motor fuel in specialized stores.</w:t>
      </w:r>
    </w:p>
    <w:p w14:paraId="5912446D" w14:textId="77777777" w:rsidR="001D7743" w:rsidRDefault="00257862" w:rsidP="00A161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  <w:tab w:val="left" w:pos="1372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Business code: 4730.</w:t>
      </w:r>
    </w:p>
    <w:p w14:paraId="2CD7F01A" w14:textId="77777777" w:rsidR="001D7743" w:rsidRDefault="00257862" w:rsidP="00A161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  <w:tab w:val="left" w:pos="1372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Details: Retailing petrol, oil and lubricants</w:t>
      </w:r>
    </w:p>
    <w:p w14:paraId="7322DB80" w14:textId="6DBCDF21" w:rsidR="001D7743" w:rsidRDefault="00257862" w:rsidP="00A161D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2. A</w:t>
      </w:r>
      <w:r w:rsidR="002A75FD">
        <w:rPr>
          <w:rFonts w:ascii="Arial" w:hAnsi="Arial"/>
          <w:sz w:val="20"/>
        </w:rPr>
        <w:t>pprove unanimously</w:t>
      </w:r>
      <w:r>
        <w:rPr>
          <w:rFonts w:ascii="Arial" w:hAnsi="Arial"/>
          <w:sz w:val="20"/>
        </w:rPr>
        <w:t xml:space="preserve"> on promulgating </w:t>
      </w:r>
      <w:r w:rsidR="002A75FD">
        <w:rPr>
          <w:rFonts w:ascii="Arial" w:hAnsi="Arial"/>
          <w:sz w:val="20"/>
        </w:rPr>
        <w:t>the</w:t>
      </w:r>
      <w:r>
        <w:rPr>
          <w:rFonts w:ascii="Arial" w:hAnsi="Arial"/>
          <w:sz w:val="20"/>
        </w:rPr>
        <w:t xml:space="preserve"> Decision on changing the business lines of Vinh Loc Industrial Park Co., Ltd pursuant to Clause 2, Article 1.</w:t>
      </w:r>
    </w:p>
    <w:p w14:paraId="1B4BB756" w14:textId="77777777" w:rsidR="001D7743" w:rsidRDefault="00257862" w:rsidP="00A161D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3. Assign the General Manager of the Company to direct affiliated departments to amend, supplement and update the contents in Article 1 into the Charter of Vinh Loc Industrial Park Co., Ltd.</w:t>
      </w:r>
    </w:p>
    <w:p w14:paraId="42C51F35" w14:textId="63E0E703" w:rsidR="001D7743" w:rsidRDefault="00257862" w:rsidP="00A161D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‎‎Article 4. This </w:t>
      </w:r>
      <w:r w:rsidR="00A161D5">
        <w:rPr>
          <w:rFonts w:ascii="Arial" w:hAnsi="Arial"/>
          <w:sz w:val="20"/>
        </w:rPr>
        <w:t xml:space="preserve">Board </w:t>
      </w:r>
      <w:r>
        <w:rPr>
          <w:rFonts w:ascii="Arial" w:hAnsi="Arial"/>
          <w:sz w:val="20"/>
        </w:rPr>
        <w:t xml:space="preserve">Resolution takes effect from the date of its signing. The </w:t>
      </w:r>
      <w:r w:rsidR="00A161D5">
        <w:rPr>
          <w:rFonts w:ascii="Arial" w:hAnsi="Arial"/>
          <w:sz w:val="20"/>
        </w:rPr>
        <w:t>Managing Director</w:t>
      </w:r>
      <w:r>
        <w:rPr>
          <w:rFonts w:ascii="Arial" w:hAnsi="Arial"/>
          <w:sz w:val="20"/>
        </w:rPr>
        <w:t xml:space="preserve"> of Cho Lon Investment and Import Export Corporation, and Vinh Loc Industrial Park Co., Ltd, and </w:t>
      </w:r>
      <w:r w:rsidR="00A161D5">
        <w:rPr>
          <w:rFonts w:ascii="Arial" w:hAnsi="Arial"/>
          <w:sz w:val="20"/>
        </w:rPr>
        <w:t>related</w:t>
      </w:r>
      <w:r>
        <w:rPr>
          <w:rFonts w:ascii="Arial" w:hAnsi="Arial"/>
          <w:sz w:val="20"/>
        </w:rPr>
        <w:t xml:space="preserve"> departments and individuals are responsible for implementing this </w:t>
      </w:r>
      <w:r w:rsidR="006865FA">
        <w:rPr>
          <w:rFonts w:ascii="Arial" w:hAnsi="Arial"/>
          <w:sz w:val="20"/>
        </w:rPr>
        <w:t>Resolution. /</w:t>
      </w:r>
      <w:r>
        <w:rPr>
          <w:rFonts w:ascii="Arial" w:hAnsi="Arial"/>
          <w:sz w:val="20"/>
        </w:rPr>
        <w:t xml:space="preserve"> .</w:t>
      </w:r>
    </w:p>
    <w:p w14:paraId="1F4AFA3D" w14:textId="77777777" w:rsidR="001D7743" w:rsidRDefault="001D7743" w:rsidP="00A161D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  <w:tab w:val="left" w:pos="798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1D7743">
      <w:pgSz w:w="11906" w:h="16838"/>
      <w:pgMar w:top="1189" w:right="876" w:bottom="1189" w:left="133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7B9"/>
    <w:multiLevelType w:val="multilevel"/>
    <w:tmpl w:val="FED6FAC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19241B4"/>
    <w:multiLevelType w:val="multilevel"/>
    <w:tmpl w:val="BB3CA5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43"/>
    <w:rsid w:val="001D7743"/>
    <w:rsid w:val="00257862"/>
    <w:rsid w:val="002A75FD"/>
    <w:rsid w:val="006865FA"/>
    <w:rsid w:val="00A161D5"/>
    <w:rsid w:val="00D55BFB"/>
    <w:rsid w:val="00D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3C55"/>
  <w15:docId w15:val="{245FDA45-0209-458C-87FD-C05704BB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ind w:firstLine="27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173" w:lineRule="auto"/>
    </w:pPr>
    <w:rPr>
      <w:rFonts w:ascii="Arial" w:eastAsia="Arial" w:hAnsi="Arial" w:cs="Arial"/>
      <w:sz w:val="19"/>
      <w:szCs w:val="19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14" w:lineRule="auto"/>
    </w:pPr>
    <w:rPr>
      <w:rFonts w:ascii="Arial" w:eastAsia="Arial" w:hAnsi="Arial" w:cs="Arial"/>
      <w:sz w:val="8"/>
      <w:szCs w:val="8"/>
    </w:rPr>
  </w:style>
  <w:style w:type="paragraph" w:customStyle="1" w:styleId="Heading11">
    <w:name w:val="Heading #1"/>
    <w:basedOn w:val="Normal"/>
    <w:link w:val="Heading10"/>
    <w:pPr>
      <w:ind w:left="55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"/>
    <w:link w:val="Other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6D5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noProof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rKYULDrEItd85uwzY59PbWMzgA==">CgMxLjA4AHIhMThYTFNDRG53cm1kYXcybE9BUWozNzZ3VEhyNG5YUXIy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2024-07-05T04:45:00Z</dcterms:created>
  <dcterms:modified xsi:type="dcterms:W3CDTF">2024-07-05T04:45:00Z</dcterms:modified>
</cp:coreProperties>
</file>