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8BE5" w14:textId="3C6925D5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05B6">
        <w:rPr>
          <w:rFonts w:ascii="Arial" w:hAnsi="Arial" w:cs="Arial"/>
          <w:b/>
          <w:color w:val="010000"/>
          <w:sz w:val="20"/>
        </w:rPr>
        <w:t xml:space="preserve">FID: Explanation of </w:t>
      </w:r>
      <w:r w:rsidR="009535E3" w:rsidRPr="00E205B6">
        <w:rPr>
          <w:rFonts w:ascii="Arial" w:hAnsi="Arial" w:cs="Arial"/>
          <w:b/>
          <w:color w:val="010000"/>
          <w:sz w:val="20"/>
        </w:rPr>
        <w:t xml:space="preserve">the </w:t>
      </w:r>
      <w:r w:rsidRPr="00E205B6">
        <w:rPr>
          <w:rFonts w:ascii="Arial" w:hAnsi="Arial" w:cs="Arial"/>
          <w:b/>
          <w:color w:val="010000"/>
          <w:sz w:val="20"/>
        </w:rPr>
        <w:t xml:space="preserve">difference in </w:t>
      </w:r>
      <w:r w:rsidR="00E205B6" w:rsidRPr="00E205B6">
        <w:rPr>
          <w:rFonts w:ascii="Arial" w:hAnsi="Arial" w:cs="Arial"/>
          <w:b/>
          <w:color w:val="010000"/>
          <w:sz w:val="20"/>
        </w:rPr>
        <w:t xml:space="preserve">revenue and </w:t>
      </w:r>
      <w:r w:rsidRPr="00E205B6">
        <w:rPr>
          <w:rFonts w:ascii="Arial" w:hAnsi="Arial" w:cs="Arial"/>
          <w:b/>
          <w:color w:val="010000"/>
          <w:sz w:val="20"/>
        </w:rPr>
        <w:t>profit after tax in the reviewed Consolidated Financial Statements 2023</w:t>
      </w:r>
    </w:p>
    <w:p w14:paraId="2C12889D" w14:textId="2537239C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 xml:space="preserve">On July </w:t>
      </w:r>
      <w:r w:rsidR="00E205B6" w:rsidRPr="00E205B6">
        <w:rPr>
          <w:rFonts w:ascii="Arial" w:hAnsi="Arial" w:cs="Arial"/>
          <w:color w:val="010000"/>
          <w:sz w:val="20"/>
        </w:rPr>
        <w:t>0</w:t>
      </w:r>
      <w:r w:rsidRPr="00E205B6">
        <w:rPr>
          <w:rFonts w:ascii="Arial" w:hAnsi="Arial" w:cs="Arial"/>
          <w:color w:val="010000"/>
          <w:sz w:val="20"/>
        </w:rPr>
        <w:t>2, 2024, Vietnam Ent</w:t>
      </w:r>
      <w:bookmarkStart w:id="0" w:name="_GoBack"/>
      <w:bookmarkEnd w:id="0"/>
      <w:r w:rsidRPr="00E205B6">
        <w:rPr>
          <w:rFonts w:ascii="Arial" w:hAnsi="Arial" w:cs="Arial"/>
          <w:color w:val="010000"/>
          <w:sz w:val="20"/>
        </w:rPr>
        <w:t xml:space="preserve">erprise Investment and Development JSC announced Official Dispatch </w:t>
      </w:r>
      <w:r w:rsidR="00B847FB" w:rsidRPr="00E205B6">
        <w:rPr>
          <w:rFonts w:ascii="Arial" w:hAnsi="Arial" w:cs="Arial"/>
          <w:color w:val="010000"/>
          <w:sz w:val="20"/>
        </w:rPr>
        <w:t xml:space="preserve">No. </w:t>
      </w:r>
      <w:r w:rsidRPr="00E205B6">
        <w:rPr>
          <w:rFonts w:ascii="Arial" w:hAnsi="Arial" w:cs="Arial"/>
          <w:color w:val="010000"/>
          <w:sz w:val="20"/>
        </w:rPr>
        <w:t xml:space="preserve">0207.02/2024/CV-VNDI on </w:t>
      </w:r>
      <w:r w:rsidR="009535E3" w:rsidRPr="00E205B6">
        <w:rPr>
          <w:rFonts w:ascii="Arial" w:hAnsi="Arial" w:cs="Arial"/>
          <w:color w:val="010000"/>
          <w:sz w:val="20"/>
        </w:rPr>
        <w:t xml:space="preserve">the </w:t>
      </w:r>
      <w:r w:rsidRPr="00E205B6">
        <w:rPr>
          <w:rFonts w:ascii="Arial" w:hAnsi="Arial" w:cs="Arial"/>
          <w:color w:val="010000"/>
          <w:sz w:val="20"/>
        </w:rPr>
        <w:t xml:space="preserve">explanation of </w:t>
      </w:r>
      <w:r w:rsidR="009535E3" w:rsidRPr="00E205B6">
        <w:rPr>
          <w:rFonts w:ascii="Arial" w:hAnsi="Arial" w:cs="Arial"/>
          <w:color w:val="010000"/>
          <w:sz w:val="20"/>
        </w:rPr>
        <w:t xml:space="preserve">the </w:t>
      </w:r>
      <w:r w:rsidRPr="00E205B6">
        <w:rPr>
          <w:rFonts w:ascii="Arial" w:hAnsi="Arial" w:cs="Arial"/>
          <w:color w:val="010000"/>
          <w:sz w:val="20"/>
        </w:rPr>
        <w:t xml:space="preserve">difference in revenue, </w:t>
      </w:r>
      <w:r w:rsidR="00E205B6" w:rsidRPr="00E205B6">
        <w:rPr>
          <w:rFonts w:ascii="Arial" w:hAnsi="Arial" w:cs="Arial"/>
          <w:color w:val="010000"/>
          <w:sz w:val="20"/>
        </w:rPr>
        <w:t xml:space="preserve">and </w:t>
      </w:r>
      <w:r w:rsidRPr="00E205B6">
        <w:rPr>
          <w:rFonts w:ascii="Arial" w:hAnsi="Arial" w:cs="Arial"/>
          <w:color w:val="010000"/>
          <w:sz w:val="20"/>
        </w:rPr>
        <w:t>profit after tax in the Consolidated Financial Statements 2023 compared to that in the same period in 2022 as follows:</w:t>
      </w:r>
    </w:p>
    <w:p w14:paraId="5E0FC042" w14:textId="77777777" w:rsidR="00D03EB5" w:rsidRPr="00E205B6" w:rsidRDefault="00ED115F" w:rsidP="00F1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>The difference in figures in 2023 compared to that in the same period in 2022: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5"/>
        <w:gridCol w:w="2435"/>
        <w:gridCol w:w="1298"/>
        <w:gridCol w:w="1057"/>
        <w:gridCol w:w="997"/>
        <w:gridCol w:w="1298"/>
        <w:gridCol w:w="1347"/>
      </w:tblGrid>
      <w:tr w:rsidR="00D03EB5" w:rsidRPr="00E205B6" w14:paraId="6B99DE8C" w14:textId="77777777" w:rsidTr="00B847FB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F79EC" w14:textId="36BA76F4" w:rsidR="00D03EB5" w:rsidRPr="00E205B6" w:rsidRDefault="00B847FB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51353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320A9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8AE23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D5E23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1545C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Difference rate (%)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E19A1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03EB5" w:rsidRPr="00E205B6" w14:paraId="0F7C641E" w14:textId="77777777" w:rsidTr="00B847FB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B8F62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85315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8141B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85AF2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601F5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5DA36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3 =(1-2)/2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2B07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</w:tr>
      <w:tr w:rsidR="00D03EB5" w:rsidRPr="00E205B6" w14:paraId="37D8C8D2" w14:textId="77777777" w:rsidTr="00B847FB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98BB2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F95E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B4C7D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219DE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84,082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75E46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38,336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86A3D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07296" w14:textId="77777777" w:rsidR="00D03EB5" w:rsidRPr="00E205B6" w:rsidRDefault="00D03EB5" w:rsidP="00F155A3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3EB5" w:rsidRPr="00E205B6" w14:paraId="28DF95AC" w14:textId="77777777" w:rsidTr="00B847FB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D0273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3A74E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Profit from business activities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637A5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1ACC0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(24,698)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D2CAC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142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7A41E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(17,493)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FE061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D03EB5" w:rsidRPr="00E205B6" w14:paraId="01695A86" w14:textId="77777777" w:rsidTr="00B847FB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DB650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7D1D7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9D01D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1CC6B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(27,330)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BDD37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63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27798" w14:textId="77777777" w:rsidR="00D03EB5" w:rsidRPr="00E205B6" w:rsidRDefault="00ED115F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05B6">
              <w:rPr>
                <w:rFonts w:ascii="Arial" w:hAnsi="Arial" w:cs="Arial"/>
                <w:color w:val="010000"/>
                <w:sz w:val="20"/>
              </w:rPr>
              <w:t>(43,481)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302A5" w14:textId="77777777" w:rsidR="00D03EB5" w:rsidRPr="00E205B6" w:rsidRDefault="00D03EB5" w:rsidP="00F15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1C26D58" w14:textId="77777777" w:rsidR="00D03EB5" w:rsidRPr="00E205B6" w:rsidRDefault="00ED115F" w:rsidP="00F1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>Explanation:</w:t>
      </w:r>
    </w:p>
    <w:p w14:paraId="5AE99851" w14:textId="4BF151C6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0"/>
          <w:tab w:val="left" w:pos="99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 xml:space="preserve">In Q2/2023, the Company began to consolidate, so the figures in 2022 </w:t>
      </w:r>
      <w:r w:rsidR="009535E3" w:rsidRPr="00E205B6">
        <w:rPr>
          <w:rFonts w:ascii="Arial" w:hAnsi="Arial" w:cs="Arial"/>
          <w:color w:val="010000"/>
          <w:sz w:val="20"/>
        </w:rPr>
        <w:t>were</w:t>
      </w:r>
      <w:r w:rsidRPr="00E205B6">
        <w:rPr>
          <w:rFonts w:ascii="Arial" w:hAnsi="Arial" w:cs="Arial"/>
          <w:color w:val="010000"/>
          <w:sz w:val="20"/>
        </w:rPr>
        <w:t xml:space="preserve"> the figures of the Separate </w:t>
      </w:r>
      <w:r w:rsidR="00E205B6" w:rsidRPr="00E205B6">
        <w:rPr>
          <w:rFonts w:ascii="Arial" w:hAnsi="Arial" w:cs="Arial"/>
          <w:color w:val="010000"/>
          <w:sz w:val="20"/>
        </w:rPr>
        <w:t xml:space="preserve">Financial </w:t>
      </w:r>
      <w:r w:rsidRPr="00E205B6">
        <w:rPr>
          <w:rFonts w:ascii="Arial" w:hAnsi="Arial" w:cs="Arial"/>
          <w:color w:val="010000"/>
          <w:sz w:val="20"/>
        </w:rPr>
        <w:t>Statements 2022.</w:t>
      </w:r>
    </w:p>
    <w:p w14:paraId="4E854E71" w14:textId="1D239F97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>In 2023, commercial activities of the Company continue</w:t>
      </w:r>
      <w:r w:rsidR="009535E3" w:rsidRPr="00E205B6">
        <w:rPr>
          <w:rFonts w:ascii="Arial" w:hAnsi="Arial" w:cs="Arial"/>
          <w:color w:val="010000"/>
          <w:sz w:val="20"/>
        </w:rPr>
        <w:t>d</w:t>
      </w:r>
      <w:r w:rsidRPr="00E205B6">
        <w:rPr>
          <w:rFonts w:ascii="Arial" w:hAnsi="Arial" w:cs="Arial"/>
          <w:color w:val="010000"/>
          <w:sz w:val="20"/>
        </w:rPr>
        <w:t xml:space="preserve"> to operate and there </w:t>
      </w:r>
      <w:r w:rsidR="009535E3" w:rsidRPr="00E205B6">
        <w:rPr>
          <w:rFonts w:ascii="Arial" w:hAnsi="Arial" w:cs="Arial"/>
          <w:color w:val="010000"/>
          <w:sz w:val="20"/>
        </w:rPr>
        <w:t>were</w:t>
      </w:r>
      <w:r w:rsidRPr="00E205B6">
        <w:rPr>
          <w:rFonts w:ascii="Arial" w:hAnsi="Arial" w:cs="Arial"/>
          <w:color w:val="010000"/>
          <w:sz w:val="20"/>
        </w:rPr>
        <w:t xml:space="preserve"> many new developments, so revenue increase</w:t>
      </w:r>
      <w:r w:rsidR="009535E3" w:rsidRPr="00E205B6">
        <w:rPr>
          <w:rFonts w:ascii="Arial" w:hAnsi="Arial" w:cs="Arial"/>
          <w:color w:val="010000"/>
          <w:sz w:val="20"/>
        </w:rPr>
        <w:t>d</w:t>
      </w:r>
      <w:r w:rsidRPr="00E205B6">
        <w:rPr>
          <w:rFonts w:ascii="Arial" w:hAnsi="Arial" w:cs="Arial"/>
          <w:color w:val="010000"/>
          <w:sz w:val="20"/>
        </w:rPr>
        <w:t xml:space="preserve"> by 119% compared to that in the same period in 2022. However, </w:t>
      </w:r>
      <w:r w:rsidR="009535E3" w:rsidRPr="00E205B6">
        <w:rPr>
          <w:rFonts w:ascii="Arial" w:hAnsi="Arial" w:cs="Arial"/>
          <w:color w:val="010000"/>
          <w:sz w:val="20"/>
        </w:rPr>
        <w:t xml:space="preserve">due </w:t>
      </w:r>
      <w:r w:rsidRPr="00E205B6">
        <w:rPr>
          <w:rFonts w:ascii="Arial" w:hAnsi="Arial" w:cs="Arial"/>
          <w:color w:val="010000"/>
          <w:sz w:val="20"/>
        </w:rPr>
        <w:t xml:space="preserve">to </w:t>
      </w:r>
      <w:r w:rsidR="009535E3" w:rsidRPr="00E205B6">
        <w:rPr>
          <w:rFonts w:ascii="Arial" w:hAnsi="Arial" w:cs="Arial"/>
          <w:color w:val="010000"/>
          <w:sz w:val="20"/>
        </w:rPr>
        <w:t xml:space="preserve">the </w:t>
      </w:r>
      <w:r w:rsidRPr="00E205B6">
        <w:rPr>
          <w:rFonts w:ascii="Arial" w:hAnsi="Arial" w:cs="Arial"/>
          <w:color w:val="010000"/>
          <w:sz w:val="20"/>
        </w:rPr>
        <w:t>allocat</w:t>
      </w:r>
      <w:r w:rsidR="009535E3" w:rsidRPr="00E205B6">
        <w:rPr>
          <w:rFonts w:ascii="Arial" w:hAnsi="Arial" w:cs="Arial"/>
          <w:color w:val="010000"/>
          <w:sz w:val="20"/>
        </w:rPr>
        <w:t>ion of</w:t>
      </w:r>
      <w:r w:rsidRPr="00E205B6">
        <w:rPr>
          <w:rFonts w:ascii="Arial" w:hAnsi="Arial" w:cs="Arial"/>
          <w:color w:val="010000"/>
          <w:sz w:val="20"/>
        </w:rPr>
        <w:t xml:space="preserve"> goodwill on the consolidated Statements and </w:t>
      </w:r>
      <w:r w:rsidR="009535E3" w:rsidRPr="00E205B6">
        <w:rPr>
          <w:rFonts w:ascii="Arial" w:hAnsi="Arial" w:cs="Arial"/>
          <w:color w:val="010000"/>
          <w:sz w:val="20"/>
        </w:rPr>
        <w:t xml:space="preserve">the </w:t>
      </w:r>
      <w:r w:rsidRPr="00E205B6">
        <w:rPr>
          <w:rFonts w:ascii="Arial" w:hAnsi="Arial" w:cs="Arial"/>
          <w:color w:val="010000"/>
          <w:sz w:val="20"/>
        </w:rPr>
        <w:t>losses of the subsidiary, profit after tax decreased by 43,481% compared to that in the same period in 2022.</w:t>
      </w:r>
    </w:p>
    <w:p w14:paraId="6B1F17EB" w14:textId="5D594B32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 xml:space="preserve">The subsidiary before the audit </w:t>
      </w:r>
      <w:r w:rsidR="009535E3" w:rsidRPr="00E205B6">
        <w:rPr>
          <w:rFonts w:ascii="Arial" w:hAnsi="Arial" w:cs="Arial"/>
          <w:color w:val="010000"/>
          <w:sz w:val="20"/>
        </w:rPr>
        <w:t>was</w:t>
      </w:r>
      <w:r w:rsidRPr="00E205B6">
        <w:rPr>
          <w:rFonts w:ascii="Arial" w:hAnsi="Arial" w:cs="Arial"/>
          <w:color w:val="010000"/>
          <w:sz w:val="20"/>
        </w:rPr>
        <w:t xml:space="preserve"> recording </w:t>
      </w:r>
      <w:r w:rsidR="00E205B6" w:rsidRPr="00E205B6">
        <w:rPr>
          <w:rFonts w:ascii="Arial" w:hAnsi="Arial" w:cs="Arial"/>
          <w:color w:val="010000"/>
          <w:sz w:val="20"/>
        </w:rPr>
        <w:t>the</w:t>
      </w:r>
      <w:r w:rsidRPr="00E205B6">
        <w:rPr>
          <w:rFonts w:ascii="Arial" w:hAnsi="Arial" w:cs="Arial"/>
          <w:color w:val="010000"/>
          <w:sz w:val="20"/>
        </w:rPr>
        <w:t xml:space="preserve"> prepayment for itself with a value of about VND22.1 billion but ha</w:t>
      </w:r>
      <w:r w:rsidR="009535E3" w:rsidRPr="00E205B6">
        <w:rPr>
          <w:rFonts w:ascii="Arial" w:hAnsi="Arial" w:cs="Arial"/>
          <w:color w:val="010000"/>
          <w:sz w:val="20"/>
        </w:rPr>
        <w:t>d</w:t>
      </w:r>
      <w:r w:rsidRPr="00E205B6">
        <w:rPr>
          <w:rFonts w:ascii="Arial" w:hAnsi="Arial" w:cs="Arial"/>
          <w:color w:val="010000"/>
          <w:sz w:val="20"/>
        </w:rPr>
        <w:t xml:space="preserve"> not yet made a provision. After being audited, the company made a provision for 100% of this prepayment, so the profit after tax before and after the audit changed by over 5% and received a qualified opinion for this item.</w:t>
      </w:r>
    </w:p>
    <w:p w14:paraId="22E58E88" w14:textId="00943EA7" w:rsidR="00D03EB5" w:rsidRPr="00E205B6" w:rsidRDefault="00ED115F" w:rsidP="00F155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B6">
        <w:rPr>
          <w:rFonts w:ascii="Arial" w:hAnsi="Arial" w:cs="Arial"/>
          <w:color w:val="010000"/>
          <w:sz w:val="20"/>
        </w:rPr>
        <w:t xml:space="preserve">Due to the subsidiary has not yet reconciled with the Bank, the loan interest amount cannot be determined. Therefore, there </w:t>
      </w:r>
      <w:r w:rsidR="009535E3" w:rsidRPr="00E205B6">
        <w:rPr>
          <w:rFonts w:ascii="Arial" w:hAnsi="Arial" w:cs="Arial"/>
          <w:color w:val="010000"/>
          <w:sz w:val="20"/>
        </w:rPr>
        <w:t>i</w:t>
      </w:r>
      <w:r w:rsidRPr="00E205B6">
        <w:rPr>
          <w:rFonts w:ascii="Arial" w:hAnsi="Arial" w:cs="Arial"/>
          <w:color w:val="010000"/>
          <w:sz w:val="20"/>
        </w:rPr>
        <w:t>s a qualified opinion for this loan.</w:t>
      </w:r>
    </w:p>
    <w:sectPr w:rsidR="00D03EB5" w:rsidRPr="00E205B6" w:rsidSect="00B847F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A95"/>
    <w:multiLevelType w:val="multilevel"/>
    <w:tmpl w:val="6860BFD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B5"/>
    <w:rsid w:val="009535E3"/>
    <w:rsid w:val="00B847FB"/>
    <w:rsid w:val="00C8065E"/>
    <w:rsid w:val="00D03EB5"/>
    <w:rsid w:val="00E205B6"/>
    <w:rsid w:val="00ED115F"/>
    <w:rsid w:val="00F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26F69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/>
      <w:bCs/>
      <w:i w:val="0"/>
      <w:iCs w:val="0"/>
      <w:smallCaps w:val="0"/>
      <w:strike w:val="0"/>
      <w:color w:val="D91752"/>
      <w:w w:val="7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54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hthchbng0">
    <w:name w:val="Chú thích bảng"/>
    <w:basedOn w:val="Normal"/>
    <w:link w:val="Chthchbng"/>
    <w:pPr>
      <w:spacing w:line="274" w:lineRule="auto"/>
    </w:pPr>
    <w:rPr>
      <w:rFonts w:ascii="Arial" w:eastAsia="Arial" w:hAnsi="Arial" w:cs="Arial"/>
      <w:b/>
      <w:bCs/>
      <w:color w:val="D91752"/>
      <w:w w:val="70"/>
      <w:sz w:val="19"/>
      <w:szCs w:val="19"/>
    </w:rPr>
  </w:style>
  <w:style w:type="paragraph" w:customStyle="1" w:styleId="Khc0">
    <w:name w:val="Khác"/>
    <w:basedOn w:val="Normal"/>
    <w:link w:val="Khc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90" w:lineRule="auto"/>
      <w:ind w:firstLine="100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20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eWbxTp/shekXPBOfDWPgP8xkg==">CgMxLjA4AHIhMWZkZWhvQkx3a3ZSWXNCTXotbWE1cEhVaC05X19qcS0w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2024-07-04T04:22:00Z</dcterms:created>
  <dcterms:modified xsi:type="dcterms:W3CDTF">2024-07-05T02:41:00Z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ee6f86dc8cdde1a3b0561c2ce765fcc5da421e37249e19500d040a188fdee09e</vt:lpwstr>
  </property>
</Properties>
</file>