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4DA9" w:rsidRDefault="00E73AA6" w:rsidP="00E73A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PLC: Board Resolution</w:t>
      </w:r>
    </w:p>
    <w:p w14:paraId="00000002" w14:textId="1839301B" w:rsidR="009C4DA9" w:rsidRDefault="00E73AA6" w:rsidP="00E73AA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July 02, 2024, Petrolimex Petrochemical Corporation -JSC announced Resolution No.12/NQ-PLC-HDQT on the selection of an audit company for the Financial Statements 2024 as follows: </w:t>
      </w:r>
    </w:p>
    <w:p w14:paraId="00000003" w14:textId="20984303" w:rsidR="009C4DA9" w:rsidRDefault="00E73AA6" w:rsidP="00E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</w:t>
      </w:r>
      <w:r w:rsidR="00A7778D">
        <w:rPr>
          <w:rFonts w:ascii="Arial" w:hAnsi="Arial"/>
          <w:color w:val="010000"/>
          <w:sz w:val="20"/>
        </w:rPr>
        <w:t xml:space="preserve"> on</w:t>
      </w:r>
      <w:r>
        <w:rPr>
          <w:rFonts w:ascii="Arial" w:hAnsi="Arial"/>
          <w:color w:val="010000"/>
          <w:sz w:val="20"/>
        </w:rPr>
        <w:t xml:space="preserve"> the selection of an audit company for the Financial Statements 2024 of Petrolimex Petrochemical Corporation -JSC, KPMG Limited.</w:t>
      </w:r>
    </w:p>
    <w:p w14:paraId="00000004" w14:textId="48D35479" w:rsidR="009C4DA9" w:rsidRDefault="00E73AA6" w:rsidP="00E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9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Petrolimex Petrochemical Corporation -JSC, Petr</w:t>
      </w:r>
      <w:bookmarkStart w:id="0" w:name="_GoBack"/>
      <w:bookmarkEnd w:id="0"/>
      <w:r>
        <w:rPr>
          <w:rFonts w:ascii="Arial" w:hAnsi="Arial"/>
          <w:color w:val="010000"/>
          <w:sz w:val="20"/>
        </w:rPr>
        <w:t>olimex Asphalt Company Limited, and Petrolimex Chemicals Company Limited</w:t>
      </w:r>
      <w:r>
        <w:rPr>
          <w:rFonts w:ascii="Arial" w:hAnsi="Arial"/>
          <w:color w:val="010000"/>
          <w:sz w:val="20"/>
        </w:rPr>
        <w:t xml:space="preserve"> on negotiating the audit contents, and signing audit contract</w:t>
      </w:r>
      <w:r w:rsidR="00A7778D">
        <w:rPr>
          <w:rFonts w:ascii="Arial" w:hAnsi="Arial"/>
          <w:color w:val="010000"/>
          <w:sz w:val="20"/>
        </w:rPr>
        <w:t>s</w:t>
      </w:r>
      <w:r>
        <w:rPr>
          <w:rFonts w:ascii="Arial" w:hAnsi="Arial"/>
          <w:color w:val="010000"/>
          <w:sz w:val="20"/>
        </w:rPr>
        <w:t xml:space="preserve"> for the Financial Statements 2024 with KPMG Limited in accordance with the provisions of </w:t>
      </w:r>
      <w:r w:rsidR="00A7778D">
        <w:rPr>
          <w:rFonts w:ascii="Arial" w:hAnsi="Arial"/>
          <w:color w:val="010000"/>
          <w:sz w:val="20"/>
        </w:rPr>
        <w:t>L</w:t>
      </w:r>
      <w:r>
        <w:rPr>
          <w:rFonts w:ascii="Arial" w:hAnsi="Arial"/>
          <w:color w:val="010000"/>
          <w:sz w:val="20"/>
        </w:rPr>
        <w:t>aw and ensuring the principles of quality, savings and efficiency.</w:t>
      </w:r>
    </w:p>
    <w:p w14:paraId="00000005" w14:textId="18633924" w:rsidR="009C4DA9" w:rsidRDefault="00A7778D" w:rsidP="00E73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Approve unanimously on the contents of the directing document of the Board of Directors of Petrolimex Petrochemical Corporation -JSC on organizing the implementation of auditing the Financial Statements 2024 of the Board of Directors of Petrolimex Petrochemical Corporation -JSC. </w:t>
      </w:r>
    </w:p>
    <w:sectPr w:rsidR="009C4DA9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67F3"/>
    <w:multiLevelType w:val="multilevel"/>
    <w:tmpl w:val="24B6A0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51618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A9"/>
    <w:rsid w:val="009C4DA9"/>
    <w:rsid w:val="00A7778D"/>
    <w:rsid w:val="00AE32D7"/>
    <w:rsid w:val="00E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CADA"/>
  <w15:docId w15:val="{ED3825AB-A0C7-4D11-A710-79D9720D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8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8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spacing w:line="264" w:lineRule="auto"/>
      <w:jc w:val="center"/>
    </w:pPr>
    <w:rPr>
      <w:rFonts w:ascii="Times New Roman" w:eastAsia="Times New Roman" w:hAnsi="Times New Roman" w:cs="Times New Roman"/>
      <w:b/>
      <w:bCs/>
      <w:w w:val="80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  <w:color w:val="151618"/>
      <w:sz w:val="22"/>
      <w:szCs w:val="22"/>
    </w:rPr>
  </w:style>
  <w:style w:type="paragraph" w:customStyle="1" w:styleId="Bodytext20">
    <w:name w:val="Body text (2)"/>
    <w:basedOn w:val="Normal"/>
    <w:link w:val="Bodytext2"/>
    <w:pPr>
      <w:ind w:left="1440"/>
    </w:pPr>
    <w:rPr>
      <w:rFonts w:ascii="Times New Roman" w:eastAsia="Times New Roman" w:hAnsi="Times New Roman" w:cs="Times New Roman"/>
      <w:color w:val="151618"/>
      <w:sz w:val="17"/>
      <w:szCs w:val="17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line="259" w:lineRule="auto"/>
    </w:pPr>
    <w:rPr>
      <w:rFonts w:ascii="Arial" w:eastAsia="Arial" w:hAnsi="Arial" w:cs="Arial"/>
      <w:sz w:val="8"/>
      <w:szCs w:val="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8E7Z7M79ixElp9E9UeELlsmsw==">CgMxLjA4AHIhMTZGUUFWX3ByaXJhTnBGbl9sR0NPbDlUSjFONnJITU1D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Hoang Phuong Thao</cp:lastModifiedBy>
  <cp:revision>3</cp:revision>
  <dcterms:created xsi:type="dcterms:W3CDTF">2024-07-04T04:30:00Z</dcterms:created>
  <dcterms:modified xsi:type="dcterms:W3CDTF">2024-07-05T02:59:00Z</dcterms:modified>
</cp:coreProperties>
</file>