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FE89" w14:textId="77777777" w:rsidR="00042018" w:rsidRDefault="00042018" w:rsidP="00AF1344">
      <w:pPr>
        <w:pStyle w:val="Tiu10"/>
        <w:keepNext/>
        <w:tabs>
          <w:tab w:val="left" w:pos="432"/>
          <w:tab w:val="left" w:pos="3208"/>
        </w:tabs>
        <w:spacing w:after="120" w:line="360" w:lineRule="auto"/>
        <w:jc w:val="both"/>
        <w:outlineLvl w:val="9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RIC: Annual General Mandate 2024</w:t>
      </w:r>
    </w:p>
    <w:p w14:paraId="521F7B31" w14:textId="57796018" w:rsidR="00042018" w:rsidRPr="00C57CC9" w:rsidRDefault="00042018" w:rsidP="00AF1344">
      <w:pPr>
        <w:pStyle w:val="Tiu10"/>
        <w:keepNext/>
        <w:tabs>
          <w:tab w:val="left" w:pos="432"/>
          <w:tab w:val="left" w:pos="3208"/>
        </w:tabs>
        <w:spacing w:after="120" w:line="360" w:lineRule="auto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On June 28, 2024, Royal International Corporation announced General Mandate No. 2024.1/NQ-</w:t>
      </w:r>
      <w:r w:rsidRPr="00C57CC9">
        <w:rPr>
          <w:rFonts w:ascii="Arial" w:hAnsi="Arial"/>
          <w:b w:val="0"/>
          <w:color w:val="010000"/>
          <w:sz w:val="20"/>
        </w:rPr>
        <w:t>DHCDTN as follows:</w:t>
      </w:r>
    </w:p>
    <w:p w14:paraId="05144122" w14:textId="2B447D58" w:rsidR="00E473A6" w:rsidRPr="00C57CC9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57CC9">
        <w:rPr>
          <w:rFonts w:ascii="Arial" w:hAnsi="Arial"/>
          <w:color w:val="010000"/>
          <w:sz w:val="20"/>
        </w:rPr>
        <w:t>Article 1 Approve the Report of the Board of Directors and the Report of the Audit Committee.</w:t>
      </w:r>
    </w:p>
    <w:p w14:paraId="0B683858" w14:textId="53712985" w:rsidR="00EB15E3" w:rsidRPr="00C57CC9" w:rsidRDefault="00EB15E3" w:rsidP="00AF1344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57CC9">
        <w:rPr>
          <w:rFonts w:ascii="Arial" w:hAnsi="Arial"/>
          <w:color w:val="010000"/>
          <w:sz w:val="20"/>
        </w:rPr>
        <w:t>Regarding business activities results: 2023 continues to be a difficult year for tourism businesses. Faced with that situation, despite the timely, drastic, flexible and creative direction and management of the Board of Directors, Executive Board and the activ</w:t>
      </w:r>
      <w:bookmarkStart w:id="0" w:name="_GoBack"/>
      <w:bookmarkEnd w:id="0"/>
      <w:r w:rsidRPr="00C57CC9">
        <w:rPr>
          <w:rFonts w:ascii="Arial" w:hAnsi="Arial"/>
          <w:color w:val="010000"/>
          <w:sz w:val="20"/>
        </w:rPr>
        <w:t xml:space="preserve">e support of major shareholders, most of the main targets of </w:t>
      </w:r>
      <w:r w:rsidR="001E5450" w:rsidRPr="00C57CC9">
        <w:rPr>
          <w:rFonts w:ascii="Arial" w:hAnsi="Arial"/>
          <w:color w:val="010000"/>
          <w:sz w:val="20"/>
        </w:rPr>
        <w:t>t</w:t>
      </w:r>
      <w:r w:rsidRPr="00C57CC9">
        <w:rPr>
          <w:rFonts w:ascii="Arial" w:hAnsi="Arial"/>
          <w:color w:val="010000"/>
          <w:sz w:val="20"/>
        </w:rPr>
        <w:t>he company did not meet the proposed plan.  According to Financial Statements Q4 2023, the Company's revenue in 2023 reached VND111</w:t>
      </w:r>
      <w:proofErr w:type="gramStart"/>
      <w:r w:rsidRPr="00C57CC9">
        <w:rPr>
          <w:rFonts w:ascii="Arial" w:hAnsi="Arial"/>
          <w:color w:val="010000"/>
          <w:sz w:val="20"/>
        </w:rPr>
        <w:t>,574,631,316</w:t>
      </w:r>
      <w:proofErr w:type="gramEnd"/>
      <w:r w:rsidRPr="00C57CC9">
        <w:rPr>
          <w:rFonts w:ascii="Arial" w:hAnsi="Arial"/>
          <w:color w:val="010000"/>
          <w:sz w:val="20"/>
        </w:rPr>
        <w:t>, decrease equivalent to 5% compared to 2022 revenue.</w:t>
      </w:r>
    </w:p>
    <w:p w14:paraId="75135904" w14:textId="77777777" w:rsidR="00E473A6" w:rsidRPr="00042018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2 Approve the Company's Business Plan 2024 with the following targets:</w:t>
      </w:r>
    </w:p>
    <w:p w14:paraId="024AD9FB" w14:textId="62EC01B6" w:rsidR="00E473A6" w:rsidRPr="00042018" w:rsidRDefault="00EC6370" w:rsidP="0086739A">
      <w:pPr>
        <w:pStyle w:val="Vnbnnidung0"/>
        <w:tabs>
          <w:tab w:val="left" w:pos="432"/>
        </w:tabs>
        <w:spacing w:after="120" w:line="360" w:lineRule="auto"/>
        <w:jc w:val="right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Unit</w:t>
      </w:r>
      <w:r w:rsidR="00770924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USD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417"/>
        <w:gridCol w:w="3212"/>
      </w:tblGrid>
      <w:tr w:rsidR="00E473A6" w:rsidRPr="00042018" w14:paraId="6FDCF87F" w14:textId="77777777" w:rsidTr="00042018">
        <w:tc>
          <w:tcPr>
            <w:tcW w:w="783" w:type="pct"/>
            <w:shd w:val="clear" w:color="auto" w:fill="auto"/>
            <w:vAlign w:val="center"/>
          </w:tcPr>
          <w:p w14:paraId="0C99187A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684CACD4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608F2DCD" w14:textId="52B51CEC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E473A6" w:rsidRPr="00042018" w14:paraId="537E7FBC" w14:textId="77777777" w:rsidTr="00042018">
        <w:tc>
          <w:tcPr>
            <w:tcW w:w="783" w:type="pct"/>
            <w:shd w:val="clear" w:color="auto" w:fill="auto"/>
            <w:vAlign w:val="center"/>
          </w:tcPr>
          <w:p w14:paraId="0B3616FA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351C2B98" w14:textId="77777777" w:rsidR="00E473A6" w:rsidRPr="00042018" w:rsidRDefault="00EC6370" w:rsidP="00EB15E3">
            <w:pPr>
              <w:pStyle w:val="Khc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from sales, service provision and business activities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14C13798" w14:textId="77777777" w:rsidR="00E473A6" w:rsidRPr="00042018" w:rsidRDefault="00EC6370" w:rsidP="0086739A">
            <w:pPr>
              <w:pStyle w:val="Khc0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6,394,441</w:t>
            </w:r>
          </w:p>
        </w:tc>
      </w:tr>
      <w:tr w:rsidR="00E473A6" w:rsidRPr="00042018" w14:paraId="635DBE76" w14:textId="77777777" w:rsidTr="00042018">
        <w:tc>
          <w:tcPr>
            <w:tcW w:w="783" w:type="pct"/>
            <w:shd w:val="clear" w:color="auto" w:fill="auto"/>
            <w:vAlign w:val="center"/>
          </w:tcPr>
          <w:p w14:paraId="36F72E02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3ACCCFB" w14:textId="77777777" w:rsidR="00E473A6" w:rsidRPr="00042018" w:rsidRDefault="00EC6370" w:rsidP="00EB15E3">
            <w:pPr>
              <w:pStyle w:val="Khc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5740933F" w14:textId="77777777" w:rsidR="00E473A6" w:rsidRPr="00042018" w:rsidRDefault="00EC6370" w:rsidP="0086739A">
            <w:pPr>
              <w:pStyle w:val="Khc0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1,258,319</w:t>
            </w:r>
          </w:p>
        </w:tc>
      </w:tr>
    </w:tbl>
    <w:p w14:paraId="7D23BB52" w14:textId="77777777" w:rsidR="00E473A6" w:rsidRPr="00042018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3 Approve the dismissal of member of the Board of Directors for Mr. Lin Yi Huang.</w:t>
      </w:r>
    </w:p>
    <w:p w14:paraId="5ED646B4" w14:textId="77777777" w:rsidR="00E473A6" w:rsidRPr="00042018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4 Approve the Regulations on electing additional members of the Board of Directors for the 2021 - 2025 term.</w:t>
      </w:r>
    </w:p>
    <w:p w14:paraId="5D63426D" w14:textId="77777777" w:rsidR="00E473A6" w:rsidRPr="00042018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Article 5 Approve the results of the additional election of Ms. Tran Thi Hong Lieu as a member of the Board of Directors of Royal International Corporation for the 2021-2025 term. </w:t>
      </w:r>
    </w:p>
    <w:p w14:paraId="70799CFE" w14:textId="511D4E2D" w:rsidR="00E473A6" w:rsidRPr="00042018" w:rsidRDefault="00EC6370" w:rsidP="00AF1344">
      <w:pPr>
        <w:pStyle w:val="Chthchb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6 Approve the total remuneration and operating budget of the Board of Directors and Audit Committee in 2024 with the following main contents: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5439"/>
        <w:gridCol w:w="2814"/>
      </w:tblGrid>
      <w:tr w:rsidR="00E473A6" w:rsidRPr="00042018" w14:paraId="53F6F4E8" w14:textId="77777777" w:rsidTr="00042018">
        <w:tc>
          <w:tcPr>
            <w:tcW w:w="439" w:type="pct"/>
            <w:shd w:val="clear" w:color="auto" w:fill="auto"/>
            <w:vAlign w:val="center"/>
          </w:tcPr>
          <w:p w14:paraId="0488C2C6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06" w:type="pct"/>
            <w:shd w:val="clear" w:color="auto" w:fill="auto"/>
            <w:vAlign w:val="center"/>
          </w:tcPr>
          <w:p w14:paraId="0DA4DB35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87A395A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E473A6" w:rsidRPr="00042018" w14:paraId="4E8AC71C" w14:textId="77777777" w:rsidTr="00042018">
        <w:tc>
          <w:tcPr>
            <w:tcW w:w="439" w:type="pct"/>
            <w:shd w:val="clear" w:color="auto" w:fill="auto"/>
            <w:vAlign w:val="center"/>
          </w:tcPr>
          <w:p w14:paraId="441E3F7F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06" w:type="pct"/>
            <w:shd w:val="clear" w:color="auto" w:fill="auto"/>
            <w:vAlign w:val="center"/>
          </w:tcPr>
          <w:p w14:paraId="5776D575" w14:textId="77777777" w:rsidR="00E473A6" w:rsidRPr="00042018" w:rsidRDefault="00EC6370" w:rsidP="00EB15E3">
            <w:pPr>
              <w:pStyle w:val="Khc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remuneration of the Board of Directors and Audit Committee in 2024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4E7E00B" w14:textId="77777777" w:rsidR="00E473A6" w:rsidRPr="00042018" w:rsidRDefault="00EC6370" w:rsidP="0086739A">
            <w:pPr>
              <w:pStyle w:val="Khc0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1,008,000,000</w:t>
            </w:r>
          </w:p>
        </w:tc>
      </w:tr>
      <w:tr w:rsidR="00E473A6" w:rsidRPr="00042018" w14:paraId="0A2E86A5" w14:textId="77777777" w:rsidTr="00042018">
        <w:tc>
          <w:tcPr>
            <w:tcW w:w="439" w:type="pct"/>
            <w:shd w:val="clear" w:color="auto" w:fill="auto"/>
            <w:vAlign w:val="center"/>
          </w:tcPr>
          <w:p w14:paraId="3D055118" w14:textId="77777777" w:rsidR="00E473A6" w:rsidRPr="00042018" w:rsidRDefault="00EC6370" w:rsidP="00AF1344">
            <w:pPr>
              <w:pStyle w:val="Khc0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06" w:type="pct"/>
            <w:shd w:val="clear" w:color="auto" w:fill="auto"/>
            <w:vAlign w:val="center"/>
          </w:tcPr>
          <w:p w14:paraId="1004C9FB" w14:textId="77777777" w:rsidR="00E473A6" w:rsidRPr="00042018" w:rsidRDefault="00EC6370" w:rsidP="00EB15E3">
            <w:pPr>
              <w:pStyle w:val="Khc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Provision for working expenses of the Board of Directors and Audit Committee in 2024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2C567DE" w14:textId="77777777" w:rsidR="00E473A6" w:rsidRPr="00042018" w:rsidRDefault="00EC6370" w:rsidP="0086739A">
            <w:pPr>
              <w:pStyle w:val="Khc0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281,700,000</w:t>
            </w:r>
          </w:p>
        </w:tc>
      </w:tr>
      <w:tr w:rsidR="00E473A6" w:rsidRPr="00042018" w14:paraId="53E3E0BA" w14:textId="77777777" w:rsidTr="00042018">
        <w:tc>
          <w:tcPr>
            <w:tcW w:w="439" w:type="pct"/>
            <w:shd w:val="clear" w:color="auto" w:fill="auto"/>
            <w:vAlign w:val="center"/>
          </w:tcPr>
          <w:p w14:paraId="35F016FF" w14:textId="77777777" w:rsidR="00E473A6" w:rsidRPr="00042018" w:rsidRDefault="00E473A6" w:rsidP="00AF1344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006" w:type="pct"/>
            <w:shd w:val="clear" w:color="auto" w:fill="auto"/>
            <w:vAlign w:val="center"/>
          </w:tcPr>
          <w:p w14:paraId="56AF112C" w14:textId="77777777" w:rsidR="00E473A6" w:rsidRPr="00042018" w:rsidRDefault="00EC6370" w:rsidP="00EB15E3">
            <w:pPr>
              <w:pStyle w:val="Khc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532AB57" w14:textId="77777777" w:rsidR="00E473A6" w:rsidRPr="00042018" w:rsidRDefault="00EC6370" w:rsidP="0086739A">
            <w:pPr>
              <w:pStyle w:val="Khc0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1,289,700,000</w:t>
            </w:r>
          </w:p>
        </w:tc>
      </w:tr>
    </w:tbl>
    <w:p w14:paraId="3EF07F95" w14:textId="40290BA5" w:rsidR="00E473A6" w:rsidRPr="00042018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7: Approve the Proposal on selecting an audit company to audit the Company's Financial Statements 2024.</w:t>
      </w:r>
    </w:p>
    <w:p w14:paraId="2B5B5C95" w14:textId="77777777" w:rsidR="00E473A6" w:rsidRPr="00042018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Article 8 Terms of enforcement</w:t>
      </w:r>
    </w:p>
    <w:p w14:paraId="763349E6" w14:textId="083A2ECD" w:rsidR="002D6022" w:rsidRPr="00042018" w:rsidRDefault="00EC6370" w:rsidP="00AF134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This General Mandate was approved in full by the Annual General Meeting of Shareholders 2024 of </w:t>
      </w:r>
      <w:r>
        <w:rPr>
          <w:rFonts w:ascii="Arial" w:hAnsi="Arial"/>
          <w:color w:val="010000"/>
          <w:sz w:val="20"/>
        </w:rPr>
        <w:lastRenderedPageBreak/>
        <w:t xml:space="preserve">Royal International Corporation at the meeting and takes effect from the date of signing. The Board of Directors </w:t>
      </w:r>
      <w:r w:rsidR="0086739A">
        <w:rPr>
          <w:rFonts w:ascii="Arial" w:hAnsi="Arial"/>
          <w:color w:val="010000"/>
          <w:sz w:val="20"/>
        </w:rPr>
        <w:t xml:space="preserve">implement on the basis of this General Mandate. </w:t>
      </w:r>
    </w:p>
    <w:sectPr w:rsidR="002D6022" w:rsidRPr="00042018" w:rsidSect="00042018">
      <w:footerReference w:type="even" r:id="rId8"/>
      <w:footerReference w:type="default" r:id="rId9"/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2DA3" w14:textId="77777777" w:rsidR="00EC6370" w:rsidRDefault="00EC6370">
      <w:r>
        <w:separator/>
      </w:r>
    </w:p>
  </w:endnote>
  <w:endnote w:type="continuationSeparator" w:id="0">
    <w:p w14:paraId="7E2A81D9" w14:textId="77777777" w:rsidR="00EC6370" w:rsidRDefault="00EC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FF6E" w14:textId="77777777" w:rsidR="00E473A6" w:rsidRDefault="00EC6370">
    <w:pPr>
      <w:spacing w:line="1" w:lineRule="exact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5EB630D" wp14:editId="3243A5F7">
              <wp:simplePos x="0" y="0"/>
              <wp:positionH relativeFrom="page">
                <wp:posOffset>3910330</wp:posOffset>
              </wp:positionH>
              <wp:positionV relativeFrom="page">
                <wp:posOffset>9469120</wp:posOffset>
              </wp:positionV>
              <wp:extent cx="59690" cy="958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CC8545" w14:textId="77777777" w:rsidR="00E473A6" w:rsidRDefault="00EC6370">
                          <w:pPr>
                            <w:pStyle w:val="utranghocchntrang20"/>
                          </w:pPr>
                          <w:r>
                            <w:rPr>
                              <w:rFonts w:ascii="Arial" w:hAnsi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EB630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7.9pt;margin-top:745.6pt;width:4.7pt;height:7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" filled="f" stroked="f">
              <v:textbox style="mso-fit-shape-to-text:t" inset="0,0,0,0">
                <w:txbxContent>
                  <w:p w14:paraId="6FCC8545" w14:textId="77777777" w:rsidR="00E473A6" w:rsidRDefault="00EC6370">
                    <w:pPr>
                      <w:pStyle w:val="utranghocchntrang20"/>
                    </w:pPr>
                    <w:r>
                      <w:rPr>
                        <w:rFonts w:ascii="Arial" w:hAnsi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047D" w14:textId="77777777" w:rsidR="00E473A6" w:rsidRDefault="00EC6370">
    <w:pPr>
      <w:spacing w:line="1" w:lineRule="exact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42D011" wp14:editId="6635061F">
              <wp:simplePos x="0" y="0"/>
              <wp:positionH relativeFrom="page">
                <wp:posOffset>3869055</wp:posOffset>
              </wp:positionH>
              <wp:positionV relativeFrom="page">
                <wp:posOffset>9455150</wp:posOffset>
              </wp:positionV>
              <wp:extent cx="29845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38CD53" w14:textId="00202373" w:rsidR="00E473A6" w:rsidRPr="00042018" w:rsidRDefault="00E473A6">
                          <w:pPr>
                            <w:pStyle w:val="utranghocchntrang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42D011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4.65pt;margin-top:744.5pt;width:2.35pt;height:7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" filled="f" stroked="f">
              <v:textbox style="mso-fit-shape-to-text:t" inset="0,0,0,0">
                <w:txbxContent>
                  <w:p w14:paraId="1B38CD53" w14:textId="00202373" w:rsidR="00E473A6" w:rsidRPr="00042018" w:rsidRDefault="00E473A6">
                    <w:pPr>
                      <w:pStyle w:val="utranghocchntrang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8C39" w14:textId="77777777" w:rsidR="00EC6370" w:rsidRDefault="00EC6370"/>
  </w:footnote>
  <w:footnote w:type="continuationSeparator" w:id="0">
    <w:p w14:paraId="25410001" w14:textId="77777777" w:rsidR="00EC6370" w:rsidRDefault="00EC63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709"/>
    <w:multiLevelType w:val="multilevel"/>
    <w:tmpl w:val="63C600F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45B28"/>
    <w:multiLevelType w:val="hybridMultilevel"/>
    <w:tmpl w:val="ECA86A2E"/>
    <w:lvl w:ilvl="0" w:tplc="93443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6"/>
    <w:rsid w:val="00026352"/>
    <w:rsid w:val="00042018"/>
    <w:rsid w:val="000913C3"/>
    <w:rsid w:val="001653FA"/>
    <w:rsid w:val="001E5450"/>
    <w:rsid w:val="002D6022"/>
    <w:rsid w:val="0045084D"/>
    <w:rsid w:val="004F71D0"/>
    <w:rsid w:val="0050247B"/>
    <w:rsid w:val="00770924"/>
    <w:rsid w:val="008173E1"/>
    <w:rsid w:val="0086739A"/>
    <w:rsid w:val="009C298D"/>
    <w:rsid w:val="00A65A1C"/>
    <w:rsid w:val="00AF1344"/>
    <w:rsid w:val="00B64F73"/>
    <w:rsid w:val="00C57CC9"/>
    <w:rsid w:val="00D56CA0"/>
    <w:rsid w:val="00E010E9"/>
    <w:rsid w:val="00E473A6"/>
    <w:rsid w:val="00E706C0"/>
    <w:rsid w:val="00EB15E3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F08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after="50" w:line="348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after="100"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after="100"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after="50"/>
      <w:ind w:firstLine="41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1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2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after="50" w:line="348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after="100"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after="100"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after="50"/>
      <w:ind w:firstLine="41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1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2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13</cp:revision>
  <dcterms:created xsi:type="dcterms:W3CDTF">2024-07-03T09:48:00Z</dcterms:created>
  <dcterms:modified xsi:type="dcterms:W3CDTF">2024-07-05T04:03:00Z</dcterms:modified>
</cp:coreProperties>
</file>