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149F3">
        <w:rPr>
          <w:rFonts w:ascii="Arial" w:hAnsi="Arial" w:cs="Arial"/>
          <w:b/>
          <w:bCs/>
          <w:color w:val="010000"/>
          <w:sz w:val="20"/>
        </w:rPr>
        <w:t>SD6:</w:t>
      </w:r>
      <w:r w:rsidRPr="00A149F3">
        <w:rPr>
          <w:rFonts w:ascii="Arial" w:hAnsi="Arial" w:cs="Arial"/>
          <w:b/>
          <w:color w:val="010000"/>
          <w:sz w:val="20"/>
        </w:rPr>
        <w:t xml:space="preserve"> Annual General Mandate 2024</w:t>
      </w:r>
    </w:p>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On June 26, 2024, Song </w:t>
      </w:r>
      <w:bookmarkStart w:id="0" w:name="_GoBack"/>
      <w:bookmarkEnd w:id="0"/>
      <w:r w:rsidRPr="00A149F3">
        <w:rPr>
          <w:rFonts w:ascii="Arial" w:hAnsi="Arial" w:cs="Arial"/>
          <w:color w:val="010000"/>
          <w:sz w:val="20"/>
        </w:rPr>
        <w:t xml:space="preserve">Da 6 Joint Stock Company announced General Mandate </w:t>
      </w:r>
      <w:r w:rsidR="00A37000" w:rsidRPr="00A149F3">
        <w:rPr>
          <w:rFonts w:ascii="Arial" w:hAnsi="Arial" w:cs="Arial"/>
          <w:color w:val="010000"/>
          <w:sz w:val="20"/>
        </w:rPr>
        <w:t xml:space="preserve">No. </w:t>
      </w:r>
      <w:r w:rsidRPr="00A149F3">
        <w:rPr>
          <w:rFonts w:ascii="Arial" w:hAnsi="Arial" w:cs="Arial"/>
          <w:color w:val="010000"/>
          <w:sz w:val="20"/>
        </w:rPr>
        <w:t>02 /NQ-DHDCD as follows:</w:t>
      </w:r>
    </w:p>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‎‎Article 1. The General Meeting of Shareholders resolved:</w:t>
      </w:r>
    </w:p>
    <w:p w:rsidR="00DF7F17" w:rsidRPr="00A149F3" w:rsidRDefault="009C63BF" w:rsidP="001E3E51">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149F3">
        <w:rPr>
          <w:rFonts w:ascii="Arial" w:hAnsi="Arial" w:cs="Arial"/>
          <w:color w:val="010000"/>
          <w:sz w:val="20"/>
        </w:rPr>
        <w:t>Approve the following contents:</w:t>
      </w:r>
    </w:p>
    <w:p w:rsidR="00DF7F17" w:rsidRPr="00A149F3" w:rsidRDefault="009C63BF" w:rsidP="001E3E51">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149F3">
        <w:rPr>
          <w:rFonts w:ascii="Arial" w:hAnsi="Arial" w:cs="Arial"/>
          <w:color w:val="010000"/>
          <w:sz w:val="20"/>
        </w:rPr>
        <w:t>Production and business plan for 2024 with main targets: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6"/>
        <w:gridCol w:w="5490"/>
        <w:gridCol w:w="1255"/>
        <w:gridCol w:w="1556"/>
      </w:tblGrid>
      <w:tr w:rsidR="00DF7F17" w:rsidRPr="00A149F3" w:rsidTr="00A37000">
        <w:tc>
          <w:tcPr>
            <w:tcW w:w="397" w:type="pct"/>
            <w:shd w:val="clear" w:color="auto" w:fill="auto"/>
            <w:tcMar>
              <w:top w:w="0" w:type="dxa"/>
              <w:bottom w:w="0" w:type="dxa"/>
            </w:tcMar>
            <w:vAlign w:val="center"/>
          </w:tcPr>
          <w:p w:rsidR="00DF7F17" w:rsidRPr="00A149F3" w:rsidRDefault="00A37000"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No. </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Targets</w:t>
            </w:r>
          </w:p>
        </w:tc>
        <w:tc>
          <w:tcPr>
            <w:tcW w:w="6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Unit</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Plan</w:t>
            </w:r>
          </w:p>
        </w:tc>
      </w:tr>
      <w:tr w:rsidR="00DF7F17" w:rsidRPr="00A149F3" w:rsidTr="00A37000">
        <w:tc>
          <w:tcPr>
            <w:tcW w:w="397"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I</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TOTAL VALUE OF PRODUCTION AND BUSINESS</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142.235</w:t>
            </w:r>
          </w:p>
        </w:tc>
      </w:tr>
      <w:tr w:rsidR="00DF7F17" w:rsidRPr="00A149F3" w:rsidTr="00A37000">
        <w:tc>
          <w:tcPr>
            <w:tcW w:w="397"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Construction</w:t>
            </w:r>
            <w:r w:rsidR="00C15F62" w:rsidRPr="00A149F3">
              <w:rPr>
                <w:rFonts w:ascii="Arial" w:hAnsi="Arial" w:cs="Arial"/>
                <w:color w:val="010000"/>
                <w:sz w:val="20"/>
              </w:rPr>
              <w:t xml:space="preserve"> and installation</w:t>
            </w:r>
            <w:r w:rsidRPr="00A149F3">
              <w:rPr>
                <w:rFonts w:ascii="Arial" w:hAnsi="Arial" w:cs="Arial"/>
                <w:color w:val="010000"/>
                <w:sz w:val="20"/>
              </w:rPr>
              <w:t xml:space="preserve"> activities</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142.235</w:t>
            </w:r>
          </w:p>
        </w:tc>
      </w:tr>
      <w:tr w:rsidR="00DF7F17" w:rsidRPr="00A149F3" w:rsidTr="00A37000">
        <w:tc>
          <w:tcPr>
            <w:tcW w:w="397" w:type="pct"/>
            <w:shd w:val="clear" w:color="auto" w:fill="auto"/>
            <w:tcMar>
              <w:top w:w="0" w:type="dxa"/>
              <w:bottom w:w="0" w:type="dxa"/>
            </w:tcMar>
            <w:vAlign w:val="center"/>
          </w:tcPr>
          <w:p w:rsidR="00DF7F17" w:rsidRPr="00A149F3" w:rsidRDefault="00C15F62"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II</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FINANCIAL PLAN</w:t>
            </w:r>
          </w:p>
        </w:tc>
        <w:tc>
          <w:tcPr>
            <w:tcW w:w="696"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863"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r>
      <w:tr w:rsidR="00DF7F17" w:rsidRPr="00A149F3" w:rsidTr="00A37000">
        <w:tc>
          <w:tcPr>
            <w:tcW w:w="397"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1</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Revenue</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324.917</w:t>
            </w:r>
          </w:p>
        </w:tc>
      </w:tr>
      <w:tr w:rsidR="00DF7F17" w:rsidRPr="00A149F3" w:rsidTr="00A37000">
        <w:tc>
          <w:tcPr>
            <w:tcW w:w="397"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2</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Profit</w:t>
            </w:r>
          </w:p>
        </w:tc>
        <w:tc>
          <w:tcPr>
            <w:tcW w:w="696"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863"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r>
      <w:tr w:rsidR="00DF7F17" w:rsidRPr="00A149F3" w:rsidTr="00A37000">
        <w:tc>
          <w:tcPr>
            <w:tcW w:w="397"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Profit before tax</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5.000</w:t>
            </w:r>
          </w:p>
        </w:tc>
      </w:tr>
      <w:tr w:rsidR="00DF7F17" w:rsidRPr="00A149F3" w:rsidTr="00A37000">
        <w:tc>
          <w:tcPr>
            <w:tcW w:w="397"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Profit after tax</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4.000</w:t>
            </w:r>
          </w:p>
        </w:tc>
      </w:tr>
      <w:tr w:rsidR="00DF7F17" w:rsidRPr="00A149F3" w:rsidTr="00A37000">
        <w:tc>
          <w:tcPr>
            <w:tcW w:w="397"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3-</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Payable to the State budget</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6.973</w:t>
            </w:r>
          </w:p>
        </w:tc>
      </w:tr>
      <w:tr w:rsidR="00DF7F17" w:rsidRPr="00A149F3" w:rsidTr="00A37000">
        <w:tc>
          <w:tcPr>
            <w:tcW w:w="397"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4</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Profit rate</w:t>
            </w:r>
          </w:p>
        </w:tc>
        <w:tc>
          <w:tcPr>
            <w:tcW w:w="696"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863"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r>
      <w:tr w:rsidR="00DF7F17" w:rsidRPr="00A149F3" w:rsidTr="00A37000">
        <w:tc>
          <w:tcPr>
            <w:tcW w:w="397"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Marginal profit (Profit after tax/Revenue)</w:t>
            </w:r>
          </w:p>
        </w:tc>
        <w:tc>
          <w:tcPr>
            <w:tcW w:w="6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1.5</w:t>
            </w:r>
          </w:p>
        </w:tc>
      </w:tr>
      <w:tr w:rsidR="00DF7F17" w:rsidRPr="00A149F3" w:rsidTr="00A37000">
        <w:tc>
          <w:tcPr>
            <w:tcW w:w="397"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Profit after tax/charter capital</w:t>
            </w:r>
          </w:p>
        </w:tc>
        <w:tc>
          <w:tcPr>
            <w:tcW w:w="6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1.2</w:t>
            </w:r>
          </w:p>
        </w:tc>
      </w:tr>
      <w:tr w:rsidR="00DF7F17" w:rsidRPr="00A149F3" w:rsidTr="00A37000">
        <w:tc>
          <w:tcPr>
            <w:tcW w:w="397" w:type="pct"/>
            <w:shd w:val="clear" w:color="auto" w:fill="auto"/>
            <w:tcMar>
              <w:top w:w="0" w:type="dxa"/>
              <w:bottom w:w="0" w:type="dxa"/>
            </w:tcMar>
            <w:vAlign w:val="center"/>
          </w:tcPr>
          <w:p w:rsidR="00DF7F17" w:rsidRPr="00A149F3" w:rsidRDefault="00DF7F17" w:rsidP="001E3E51">
            <w:pPr>
              <w:tabs>
                <w:tab w:val="left" w:pos="432"/>
              </w:tabs>
              <w:spacing w:after="120" w:line="360" w:lineRule="auto"/>
              <w:jc w:val="both"/>
              <w:rPr>
                <w:rFonts w:ascii="Arial" w:eastAsia="Arial" w:hAnsi="Arial" w:cs="Arial"/>
                <w:color w:val="010000"/>
                <w:sz w:val="20"/>
                <w:szCs w:val="20"/>
              </w:rPr>
            </w:pP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Return on equity (Profit after tax/Owners’ equity)</w:t>
            </w:r>
          </w:p>
        </w:tc>
        <w:tc>
          <w:tcPr>
            <w:tcW w:w="6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2.2</w:t>
            </w:r>
          </w:p>
        </w:tc>
      </w:tr>
      <w:tr w:rsidR="00DF7F17" w:rsidRPr="00A149F3" w:rsidTr="00A37000">
        <w:tc>
          <w:tcPr>
            <w:tcW w:w="397"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5</w:t>
            </w:r>
          </w:p>
        </w:tc>
        <w:tc>
          <w:tcPr>
            <w:tcW w:w="3044"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Charter capital</w:t>
            </w:r>
          </w:p>
        </w:tc>
        <w:tc>
          <w:tcPr>
            <w:tcW w:w="696" w:type="pct"/>
            <w:shd w:val="clear" w:color="auto" w:fill="auto"/>
            <w:tcMar>
              <w:top w:w="0" w:type="dxa"/>
              <w:bottom w:w="0" w:type="dxa"/>
            </w:tcMar>
            <w:vAlign w:val="center"/>
          </w:tcPr>
          <w:p w:rsidR="00DF7F17" w:rsidRPr="00A149F3" w:rsidRDefault="00C15F62" w:rsidP="001E3E51">
            <w:pP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Billion VND</w:t>
            </w:r>
          </w:p>
        </w:tc>
        <w:tc>
          <w:tcPr>
            <w:tcW w:w="86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347.716</w:t>
            </w:r>
          </w:p>
        </w:tc>
      </w:tr>
    </w:tbl>
    <w:p w:rsidR="00DF7F17" w:rsidRPr="00A149F3" w:rsidRDefault="009C63BF" w:rsidP="001E3E51">
      <w:pPr>
        <w:numPr>
          <w:ilvl w:val="0"/>
          <w:numId w:val="4"/>
        </w:numPr>
        <w:pBdr>
          <w:top w:val="nil"/>
          <w:left w:val="nil"/>
          <w:bottom w:val="nil"/>
          <w:right w:val="nil"/>
          <w:between w:val="nil"/>
        </w:pBdr>
        <w:tabs>
          <w:tab w:val="left" w:pos="432"/>
          <w:tab w:val="left" w:pos="1087"/>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Profit </w:t>
      </w:r>
      <w:r w:rsidR="00C15F62" w:rsidRPr="00A149F3">
        <w:rPr>
          <w:rFonts w:ascii="Arial" w:hAnsi="Arial" w:cs="Arial"/>
          <w:color w:val="010000"/>
          <w:sz w:val="20"/>
        </w:rPr>
        <w:t xml:space="preserve">distribution </w:t>
      </w:r>
      <w:r w:rsidRPr="00A149F3">
        <w:rPr>
          <w:rFonts w:ascii="Arial" w:hAnsi="Arial" w:cs="Arial"/>
          <w:color w:val="010000"/>
          <w:sz w:val="20"/>
        </w:rPr>
        <w:t>and dividend</w:t>
      </w:r>
      <w:r w:rsidR="00C15F62" w:rsidRPr="00A149F3">
        <w:rPr>
          <w:rFonts w:ascii="Arial" w:hAnsi="Arial" w:cs="Arial"/>
          <w:color w:val="010000"/>
          <w:sz w:val="20"/>
        </w:rPr>
        <w:t xml:space="preserve"> payment</w:t>
      </w:r>
      <w:r w:rsidRPr="00A149F3">
        <w:rPr>
          <w:rFonts w:ascii="Arial" w:hAnsi="Arial" w:cs="Arial"/>
          <w:color w:val="010000"/>
          <w:sz w:val="20"/>
        </w:rPr>
        <w:t xml:space="preserve"> plan for 2023:</w:t>
      </w:r>
      <w:r w:rsidR="00A37000" w:rsidRPr="00A149F3">
        <w:rPr>
          <w:rFonts w:ascii="Arial" w:hAnsi="Arial" w:cs="Arial"/>
          <w:color w:val="010000"/>
          <w:sz w:val="20"/>
        </w:rPr>
        <w:t xml:space="preserve"> </w:t>
      </w:r>
      <w:r w:rsidRPr="00A149F3">
        <w:rPr>
          <w:rFonts w:ascii="Arial" w:hAnsi="Arial" w:cs="Arial"/>
          <w:color w:val="010000"/>
          <w:sz w:val="20"/>
        </w:rPr>
        <w:t>The company does not pay dividends because it is not eligible.</w:t>
      </w:r>
    </w:p>
    <w:p w:rsidR="00DF7F17" w:rsidRPr="00A149F3" w:rsidRDefault="009C63BF" w:rsidP="001E3E51">
      <w:pPr>
        <w:numPr>
          <w:ilvl w:val="0"/>
          <w:numId w:val="4"/>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sidRPr="00A149F3">
        <w:rPr>
          <w:rFonts w:ascii="Arial" w:hAnsi="Arial" w:cs="Arial"/>
          <w:color w:val="010000"/>
          <w:sz w:val="20"/>
        </w:rPr>
        <w:t>Selection of an audit company for the Financial Statements in 2024.</w:t>
      </w:r>
    </w:p>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1" w:name="_heading=h.gjdgxs"/>
      <w:bookmarkEnd w:id="1"/>
      <w:r w:rsidRPr="00A149F3">
        <w:rPr>
          <w:rFonts w:ascii="Arial" w:hAnsi="Arial" w:cs="Arial"/>
          <w:color w:val="010000"/>
          <w:sz w:val="20"/>
        </w:rPr>
        <w:t xml:space="preserve">The General Meeting of Shareholders authorizes the Board of Directors of the Company to select 01 (one) out of 03 (three) qualified </w:t>
      </w:r>
      <w:r w:rsidR="00C15F62" w:rsidRPr="00A149F3">
        <w:rPr>
          <w:rFonts w:ascii="Arial" w:hAnsi="Arial" w:cs="Arial"/>
          <w:color w:val="010000"/>
          <w:sz w:val="20"/>
        </w:rPr>
        <w:t xml:space="preserve">audit </w:t>
      </w:r>
      <w:r w:rsidRPr="00A149F3">
        <w:rPr>
          <w:rFonts w:ascii="Arial" w:hAnsi="Arial" w:cs="Arial"/>
          <w:color w:val="010000"/>
          <w:sz w:val="20"/>
        </w:rPr>
        <w:t>companies according to the regulations of the Ministry of Finance and the State Securities Commission as the audit company to audit the Financial Statements 2024 according to the Company's Supervisory Board's Proposal:</w:t>
      </w:r>
    </w:p>
    <w:p w:rsidR="00DF7F17" w:rsidRPr="00A149F3" w:rsidRDefault="009C63BF" w:rsidP="001E3E51">
      <w:pPr>
        <w:numPr>
          <w:ilvl w:val="0"/>
          <w:numId w:val="3"/>
        </w:numPr>
        <w:pBdr>
          <w:top w:val="nil"/>
          <w:left w:val="nil"/>
          <w:bottom w:val="nil"/>
          <w:right w:val="nil"/>
          <w:between w:val="nil"/>
        </w:pBdr>
        <w:tabs>
          <w:tab w:val="left" w:pos="432"/>
          <w:tab w:val="left" w:pos="992"/>
        </w:tabs>
        <w:spacing w:after="120" w:line="360" w:lineRule="auto"/>
        <w:jc w:val="both"/>
        <w:rPr>
          <w:rFonts w:ascii="Arial" w:eastAsia="Arial" w:hAnsi="Arial" w:cs="Arial"/>
          <w:color w:val="010000"/>
          <w:sz w:val="20"/>
          <w:szCs w:val="20"/>
        </w:rPr>
      </w:pPr>
      <w:r w:rsidRPr="00A149F3">
        <w:rPr>
          <w:rFonts w:ascii="Arial" w:hAnsi="Arial" w:cs="Arial"/>
          <w:color w:val="010000"/>
          <w:sz w:val="20"/>
        </w:rPr>
        <w:t>VACO Auditing Company Limited;</w:t>
      </w:r>
    </w:p>
    <w:p w:rsidR="00DF7F17" w:rsidRPr="00A149F3" w:rsidRDefault="009C63BF" w:rsidP="001E3E51">
      <w:pPr>
        <w:numPr>
          <w:ilvl w:val="0"/>
          <w:numId w:val="3"/>
        </w:numPr>
        <w:pBdr>
          <w:top w:val="nil"/>
          <w:left w:val="nil"/>
          <w:bottom w:val="nil"/>
          <w:right w:val="nil"/>
          <w:between w:val="nil"/>
        </w:pBdr>
        <w:tabs>
          <w:tab w:val="left" w:pos="432"/>
          <w:tab w:val="left" w:pos="992"/>
        </w:tabs>
        <w:spacing w:after="120" w:line="360" w:lineRule="auto"/>
        <w:jc w:val="both"/>
        <w:rPr>
          <w:rFonts w:ascii="Arial" w:eastAsia="Arial" w:hAnsi="Arial" w:cs="Arial"/>
          <w:color w:val="010000"/>
          <w:sz w:val="20"/>
          <w:szCs w:val="20"/>
        </w:rPr>
      </w:pPr>
      <w:r w:rsidRPr="00A149F3">
        <w:rPr>
          <w:rFonts w:ascii="Arial" w:hAnsi="Arial" w:cs="Arial"/>
          <w:color w:val="010000"/>
          <w:sz w:val="20"/>
        </w:rPr>
        <w:t>UHY Audit And Advisory Services Limited</w:t>
      </w:r>
    </w:p>
    <w:p w:rsidR="00DF7F17" w:rsidRPr="00A149F3" w:rsidRDefault="009C63BF" w:rsidP="001E3E51">
      <w:pPr>
        <w:numPr>
          <w:ilvl w:val="0"/>
          <w:numId w:val="3"/>
        </w:numPr>
        <w:pBdr>
          <w:top w:val="nil"/>
          <w:left w:val="nil"/>
          <w:bottom w:val="nil"/>
          <w:right w:val="nil"/>
          <w:between w:val="nil"/>
        </w:pBdr>
        <w:tabs>
          <w:tab w:val="left" w:pos="432"/>
          <w:tab w:val="left" w:pos="992"/>
        </w:tabs>
        <w:spacing w:after="120" w:line="360" w:lineRule="auto"/>
        <w:jc w:val="both"/>
        <w:rPr>
          <w:rFonts w:ascii="Arial" w:eastAsia="Arial" w:hAnsi="Arial" w:cs="Arial"/>
          <w:color w:val="010000"/>
          <w:sz w:val="20"/>
          <w:szCs w:val="20"/>
        </w:rPr>
      </w:pPr>
      <w:r w:rsidRPr="00A149F3">
        <w:rPr>
          <w:rFonts w:ascii="Arial" w:hAnsi="Arial" w:cs="Arial"/>
          <w:color w:val="010000"/>
          <w:sz w:val="20"/>
        </w:rPr>
        <w:t>AASC Auditing Firm Company Limited;</w:t>
      </w:r>
    </w:p>
    <w:p w:rsidR="00DF7F17" w:rsidRPr="00A149F3" w:rsidRDefault="009C63BF" w:rsidP="001E3E51">
      <w:pPr>
        <w:numPr>
          <w:ilvl w:val="0"/>
          <w:numId w:val="4"/>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Plan on </w:t>
      </w:r>
      <w:r w:rsidR="00C15F62" w:rsidRPr="00A149F3">
        <w:rPr>
          <w:rFonts w:ascii="Arial" w:hAnsi="Arial" w:cs="Arial"/>
          <w:color w:val="010000"/>
          <w:sz w:val="20"/>
        </w:rPr>
        <w:t xml:space="preserve">the </w:t>
      </w:r>
      <w:r w:rsidRPr="00A149F3">
        <w:rPr>
          <w:rFonts w:ascii="Arial" w:hAnsi="Arial" w:cs="Arial"/>
          <w:color w:val="010000"/>
          <w:sz w:val="20"/>
        </w:rPr>
        <w:t>remuneration of the Board of Directors and the Supervisory Board for 2024</w:t>
      </w:r>
    </w:p>
    <w:p w:rsidR="00DF7F17" w:rsidRPr="00A149F3" w:rsidRDefault="009C63BF" w:rsidP="001E3E51">
      <w:pPr>
        <w:numPr>
          <w:ilvl w:val="0"/>
          <w:numId w:val="3"/>
        </w:numPr>
        <w:pBdr>
          <w:top w:val="nil"/>
          <w:left w:val="nil"/>
          <w:bottom w:val="nil"/>
          <w:right w:val="nil"/>
          <w:between w:val="nil"/>
        </w:pBdr>
        <w:tabs>
          <w:tab w:val="left" w:pos="432"/>
          <w:tab w:val="left" w:pos="982"/>
        </w:tabs>
        <w:spacing w:after="120" w:line="360" w:lineRule="auto"/>
        <w:jc w:val="both"/>
        <w:rPr>
          <w:rFonts w:ascii="Arial" w:eastAsia="Arial" w:hAnsi="Arial" w:cs="Arial"/>
          <w:color w:val="010000"/>
          <w:sz w:val="20"/>
          <w:szCs w:val="20"/>
        </w:rPr>
      </w:pPr>
      <w:r w:rsidRPr="00A149F3">
        <w:rPr>
          <w:rFonts w:ascii="Arial" w:hAnsi="Arial" w:cs="Arial"/>
          <w:color w:val="010000"/>
          <w:sz w:val="20"/>
        </w:rPr>
        <w:lastRenderedPageBreak/>
        <w:t>When the rate of completion of the production and business plan and realized profit are equal to the yearly planned profit, the remuneration of the Board of Directors and the Supervisory Board is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0"/>
        <w:gridCol w:w="4806"/>
        <w:gridCol w:w="1544"/>
        <w:gridCol w:w="1977"/>
      </w:tblGrid>
      <w:tr w:rsidR="00DF7F17" w:rsidRPr="00A149F3" w:rsidTr="00A37000">
        <w:tc>
          <w:tcPr>
            <w:tcW w:w="383" w:type="pct"/>
            <w:shd w:val="clear" w:color="auto" w:fill="auto"/>
            <w:tcMar>
              <w:top w:w="0" w:type="dxa"/>
              <w:bottom w:w="0" w:type="dxa"/>
            </w:tcMar>
            <w:vAlign w:val="center"/>
          </w:tcPr>
          <w:p w:rsidR="00DF7F17" w:rsidRPr="00A149F3" w:rsidRDefault="00A37000"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No. </w:t>
            </w:r>
          </w:p>
        </w:tc>
        <w:tc>
          <w:tcPr>
            <w:tcW w:w="2665"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Position</w:t>
            </w:r>
          </w:p>
        </w:tc>
        <w:tc>
          <w:tcPr>
            <w:tcW w:w="85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Quantity</w:t>
            </w:r>
          </w:p>
        </w:tc>
        <w:tc>
          <w:tcPr>
            <w:tcW w:w="10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Planned Remuneration/month (VND)</w:t>
            </w:r>
          </w:p>
        </w:tc>
      </w:tr>
      <w:tr w:rsidR="00DF7F17" w:rsidRPr="00A149F3" w:rsidTr="00A37000">
        <w:tc>
          <w:tcPr>
            <w:tcW w:w="38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1</w:t>
            </w:r>
          </w:p>
        </w:tc>
        <w:tc>
          <w:tcPr>
            <w:tcW w:w="2665"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Non-executive Chair of the Board of Directors</w:t>
            </w:r>
          </w:p>
        </w:tc>
        <w:tc>
          <w:tcPr>
            <w:tcW w:w="85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01 person</w:t>
            </w:r>
          </w:p>
        </w:tc>
        <w:tc>
          <w:tcPr>
            <w:tcW w:w="10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7,000,000</w:t>
            </w:r>
          </w:p>
        </w:tc>
      </w:tr>
      <w:tr w:rsidR="00DF7F17" w:rsidRPr="00A149F3" w:rsidTr="00A37000">
        <w:tc>
          <w:tcPr>
            <w:tcW w:w="38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2</w:t>
            </w:r>
          </w:p>
        </w:tc>
        <w:tc>
          <w:tcPr>
            <w:tcW w:w="2665"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Member of the Board of Directors</w:t>
            </w:r>
          </w:p>
        </w:tc>
        <w:tc>
          <w:tcPr>
            <w:tcW w:w="85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04 person</w:t>
            </w:r>
          </w:p>
        </w:tc>
        <w:tc>
          <w:tcPr>
            <w:tcW w:w="10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5,000,000</w:t>
            </w:r>
          </w:p>
        </w:tc>
      </w:tr>
      <w:tr w:rsidR="00DF7F17" w:rsidRPr="00A149F3" w:rsidTr="00A37000">
        <w:tc>
          <w:tcPr>
            <w:tcW w:w="383"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3</w:t>
            </w:r>
          </w:p>
        </w:tc>
        <w:tc>
          <w:tcPr>
            <w:tcW w:w="2665"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Non-executive members of the Supervisory Board</w:t>
            </w:r>
          </w:p>
        </w:tc>
        <w:tc>
          <w:tcPr>
            <w:tcW w:w="85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02 person</w:t>
            </w:r>
          </w:p>
        </w:tc>
        <w:tc>
          <w:tcPr>
            <w:tcW w:w="1096" w:type="pct"/>
            <w:shd w:val="clear" w:color="auto" w:fill="auto"/>
            <w:tcMar>
              <w:top w:w="0" w:type="dxa"/>
              <w:bottom w:w="0" w:type="dxa"/>
            </w:tcMar>
            <w:vAlign w:val="center"/>
          </w:tcPr>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3,000,000</w:t>
            </w:r>
          </w:p>
        </w:tc>
      </w:tr>
    </w:tbl>
    <w:p w:rsidR="00DF7F17" w:rsidRPr="00A149F3" w:rsidRDefault="00A149F3" w:rsidP="001E3E51">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When finalizing </w:t>
      </w:r>
      <w:r w:rsidR="009C63BF" w:rsidRPr="00A149F3">
        <w:rPr>
          <w:rFonts w:ascii="Arial" w:hAnsi="Arial" w:cs="Arial"/>
          <w:color w:val="010000"/>
          <w:sz w:val="20"/>
        </w:rPr>
        <w:t>the remuneration of the Manager</w:t>
      </w:r>
      <w:r w:rsidRPr="00A149F3">
        <w:rPr>
          <w:rFonts w:ascii="Arial" w:hAnsi="Arial" w:cs="Arial"/>
          <w:color w:val="010000"/>
          <w:sz w:val="20"/>
        </w:rPr>
        <w:t>s</w:t>
      </w:r>
      <w:r w:rsidR="009C63BF" w:rsidRPr="00A149F3">
        <w:rPr>
          <w:rFonts w:ascii="Arial" w:hAnsi="Arial" w:cs="Arial"/>
          <w:color w:val="010000"/>
          <w:sz w:val="20"/>
        </w:rPr>
        <w:t xml:space="preserve"> of Song Da 6 Joint Stock Company, </w:t>
      </w:r>
      <w:r w:rsidRPr="00A149F3">
        <w:rPr>
          <w:rFonts w:ascii="Arial" w:hAnsi="Arial" w:cs="Arial"/>
          <w:color w:val="010000"/>
          <w:sz w:val="20"/>
        </w:rPr>
        <w:t xml:space="preserve">according to the regulations in </w:t>
      </w:r>
      <w:r w:rsidR="009C63BF" w:rsidRPr="00A149F3">
        <w:rPr>
          <w:rFonts w:ascii="Arial" w:hAnsi="Arial" w:cs="Arial"/>
          <w:color w:val="010000"/>
          <w:sz w:val="20"/>
        </w:rPr>
        <w:t>Circular 28/2016/TT-BLDTBXH dated September 1, 2016 of the Ministry of Labor, War Invalids and Social Affairs and other</w:t>
      </w:r>
      <w:r w:rsidRPr="00A149F3">
        <w:rPr>
          <w:rFonts w:ascii="Arial" w:hAnsi="Arial" w:cs="Arial"/>
          <w:color w:val="010000"/>
          <w:sz w:val="20"/>
        </w:rPr>
        <w:t xml:space="preserve"> current</w:t>
      </w:r>
      <w:r w:rsidR="009C63BF" w:rsidRPr="00A149F3">
        <w:rPr>
          <w:rFonts w:ascii="Arial" w:hAnsi="Arial" w:cs="Arial"/>
          <w:color w:val="010000"/>
          <w:sz w:val="20"/>
        </w:rPr>
        <w:t xml:space="preserve"> regulations shall be applied.</w:t>
      </w:r>
    </w:p>
    <w:p w:rsidR="00DF7F17" w:rsidRPr="00A149F3" w:rsidRDefault="00A149F3" w:rsidP="001E3E51">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149F3">
        <w:rPr>
          <w:rFonts w:ascii="Arial" w:hAnsi="Arial" w:cs="Arial"/>
          <w:color w:val="010000"/>
          <w:sz w:val="20"/>
        </w:rPr>
        <w:t>Dis</w:t>
      </w:r>
      <w:r w:rsidR="009C63BF" w:rsidRPr="00A149F3">
        <w:rPr>
          <w:rFonts w:ascii="Arial" w:hAnsi="Arial" w:cs="Arial"/>
          <w:color w:val="010000"/>
          <w:sz w:val="20"/>
        </w:rPr>
        <w:t>approve the following contents:</w:t>
      </w:r>
    </w:p>
    <w:p w:rsidR="00DF7F17" w:rsidRPr="00A149F3" w:rsidRDefault="00A149F3" w:rsidP="001E3E51">
      <w:pPr>
        <w:numPr>
          <w:ilvl w:val="0"/>
          <w:numId w:val="5"/>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Disapprove </w:t>
      </w:r>
      <w:r w:rsidR="009C63BF" w:rsidRPr="00A149F3">
        <w:rPr>
          <w:rFonts w:ascii="Arial" w:hAnsi="Arial" w:cs="Arial"/>
          <w:color w:val="010000"/>
          <w:sz w:val="20"/>
        </w:rPr>
        <w:t>the Report on production, business and operations results of the Board of Directors in 2023.</w:t>
      </w:r>
    </w:p>
    <w:p w:rsidR="00DF7F17" w:rsidRPr="00A149F3" w:rsidRDefault="00A149F3" w:rsidP="001E3E51">
      <w:pPr>
        <w:numPr>
          <w:ilvl w:val="0"/>
          <w:numId w:val="5"/>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Disapprove </w:t>
      </w:r>
      <w:r w:rsidR="009C63BF" w:rsidRPr="00A149F3">
        <w:rPr>
          <w:rFonts w:ascii="Arial" w:hAnsi="Arial" w:cs="Arial"/>
          <w:color w:val="010000"/>
          <w:sz w:val="20"/>
        </w:rPr>
        <w:t xml:space="preserve">the Report on activities of the Supervisory Board 2023 and </w:t>
      </w:r>
      <w:r w:rsidRPr="00A149F3">
        <w:rPr>
          <w:rFonts w:ascii="Arial" w:hAnsi="Arial" w:cs="Arial"/>
          <w:color w:val="010000"/>
          <w:sz w:val="20"/>
        </w:rPr>
        <w:t xml:space="preserve">the </w:t>
      </w:r>
      <w:r w:rsidR="009C63BF" w:rsidRPr="00A149F3">
        <w:rPr>
          <w:rFonts w:ascii="Arial" w:hAnsi="Arial" w:cs="Arial"/>
          <w:color w:val="010000"/>
          <w:sz w:val="20"/>
        </w:rPr>
        <w:t>Operation</w:t>
      </w:r>
      <w:r w:rsidRPr="00A149F3">
        <w:rPr>
          <w:rFonts w:ascii="Arial" w:hAnsi="Arial" w:cs="Arial"/>
          <w:color w:val="010000"/>
          <w:sz w:val="20"/>
        </w:rPr>
        <w:t>al</w:t>
      </w:r>
      <w:r w:rsidR="009C63BF" w:rsidRPr="00A149F3">
        <w:rPr>
          <w:rFonts w:ascii="Arial" w:hAnsi="Arial" w:cs="Arial"/>
          <w:color w:val="010000"/>
          <w:sz w:val="20"/>
        </w:rPr>
        <w:t xml:space="preserve"> Plan 2024.</w:t>
      </w:r>
    </w:p>
    <w:p w:rsidR="00DF7F17" w:rsidRPr="00A149F3" w:rsidRDefault="00A149F3" w:rsidP="001E3E51">
      <w:pPr>
        <w:numPr>
          <w:ilvl w:val="0"/>
          <w:numId w:val="5"/>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Disapprove </w:t>
      </w:r>
      <w:r w:rsidR="009C63BF" w:rsidRPr="00A149F3">
        <w:rPr>
          <w:rFonts w:ascii="Arial" w:hAnsi="Arial" w:cs="Arial"/>
          <w:color w:val="010000"/>
          <w:sz w:val="20"/>
        </w:rPr>
        <w:t xml:space="preserve">the Financial Statements 2023 audited by VACO Auditing Company Limited. </w:t>
      </w:r>
    </w:p>
    <w:p w:rsidR="00DF7F17" w:rsidRPr="00A149F3" w:rsidRDefault="00A149F3" w:rsidP="001E3E51">
      <w:pPr>
        <w:numPr>
          <w:ilvl w:val="0"/>
          <w:numId w:val="5"/>
        </w:numPr>
        <w:pBdr>
          <w:top w:val="nil"/>
          <w:left w:val="nil"/>
          <w:bottom w:val="nil"/>
          <w:right w:val="nil"/>
          <w:between w:val="nil"/>
        </w:pBdr>
        <w:tabs>
          <w:tab w:val="left" w:pos="432"/>
          <w:tab w:val="left" w:pos="108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Disapprove </w:t>
      </w:r>
      <w:r w:rsidR="009C63BF" w:rsidRPr="00A149F3">
        <w:rPr>
          <w:rFonts w:ascii="Arial" w:hAnsi="Arial" w:cs="Arial"/>
          <w:color w:val="010000"/>
          <w:sz w:val="20"/>
        </w:rPr>
        <w:t>the remuneration settlement of the Board of Directors and the Supervisory Board in 2023.</w:t>
      </w:r>
    </w:p>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 xml:space="preserve">‎‎Article 2. Assign the Board of Directors of the Company to lead and direct the Board of Management to organize and implement the General Mandate with high efficiency; The Supervisory Board controls the implementation of the General Mandate in accordance with the provisions of </w:t>
      </w:r>
      <w:r w:rsidR="00A149F3" w:rsidRPr="00A149F3">
        <w:rPr>
          <w:rFonts w:ascii="Arial" w:hAnsi="Arial" w:cs="Arial"/>
          <w:color w:val="010000"/>
          <w:sz w:val="20"/>
        </w:rPr>
        <w:t xml:space="preserve">the </w:t>
      </w:r>
      <w:r w:rsidRPr="00A149F3">
        <w:rPr>
          <w:rFonts w:ascii="Arial" w:hAnsi="Arial" w:cs="Arial"/>
          <w:color w:val="010000"/>
          <w:sz w:val="20"/>
        </w:rPr>
        <w:t xml:space="preserve">Law, </w:t>
      </w:r>
      <w:r w:rsidR="00A149F3" w:rsidRPr="00A149F3">
        <w:rPr>
          <w:rFonts w:ascii="Arial" w:hAnsi="Arial" w:cs="Arial"/>
          <w:color w:val="010000"/>
          <w:sz w:val="20"/>
        </w:rPr>
        <w:t>and the Company’s Charter and Internal regulation</w:t>
      </w:r>
      <w:r w:rsidRPr="00A149F3">
        <w:rPr>
          <w:rFonts w:ascii="Arial" w:hAnsi="Arial" w:cs="Arial"/>
          <w:color w:val="010000"/>
          <w:sz w:val="20"/>
        </w:rPr>
        <w:t>.</w:t>
      </w:r>
    </w:p>
    <w:p w:rsidR="00DF7F17" w:rsidRPr="00A149F3" w:rsidRDefault="009C63BF" w:rsidP="001E3E5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149F3">
        <w:rPr>
          <w:rFonts w:ascii="Arial" w:hAnsi="Arial" w:cs="Arial"/>
          <w:color w:val="010000"/>
          <w:sz w:val="20"/>
        </w:rPr>
        <w:t>‎‎Article 3. The Board of Directors, the Supervisory Board, the General Manager, relevant organizations and individuals in the Company and shareholders shall implement the Resolution based on the Resolution./.</w:t>
      </w:r>
    </w:p>
    <w:sectPr w:rsidR="00DF7F17" w:rsidRPr="00A149F3" w:rsidSect="00A3700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3405F"/>
    <w:multiLevelType w:val="multilevel"/>
    <w:tmpl w:val="2DAED834"/>
    <w:lvl w:ilvl="0">
      <w:start w:val="1"/>
      <w:numFmt w:val="upperRoman"/>
      <w:lvlRestart w:val="0"/>
      <w:lvlText w:val="%1."/>
      <w:lvlJc w:val="left"/>
      <w:pPr>
        <w:ind w:left="720" w:hanging="360"/>
      </w:pPr>
      <w:rPr>
        <w:b w:val="0"/>
        <w:i w:val="0"/>
        <w:sz w:val="20"/>
        <w:szCs w:val="20"/>
      </w:rPr>
    </w:lvl>
    <w:lvl w:ilvl="1">
      <w:start w:val="1"/>
      <w:numFmt w:val="decimal"/>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0310B5"/>
    <w:multiLevelType w:val="multilevel"/>
    <w:tmpl w:val="3C9695B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9A5151F"/>
    <w:multiLevelType w:val="multilevel"/>
    <w:tmpl w:val="1B7CE4C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EEA3776"/>
    <w:multiLevelType w:val="multilevel"/>
    <w:tmpl w:val="C74C4FFA"/>
    <w:lvl w:ilvl="0">
      <w:start w:val="1"/>
      <w:numFmt w:val="decimal"/>
      <w:lvlText w:val="%1."/>
      <w:lvlJc w:val="left"/>
      <w:pPr>
        <w:ind w:left="720" w:hanging="360"/>
      </w:pPr>
      <w:rPr>
        <w:b w:val="0"/>
        <w:i w:val="0"/>
        <w:sz w:val="20"/>
        <w:szCs w:val="20"/>
      </w:rPr>
    </w:lvl>
    <w:lvl w:ilvl="1">
      <w:start w:val="1"/>
      <w:numFmt w:val="decimal"/>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2B06D0"/>
    <w:multiLevelType w:val="multilevel"/>
    <w:tmpl w:val="1E305B06"/>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17"/>
    <w:rsid w:val="001E3E51"/>
    <w:rsid w:val="009C63BF"/>
    <w:rsid w:val="00A149F3"/>
    <w:rsid w:val="00A37000"/>
    <w:rsid w:val="00C15F62"/>
    <w:rsid w:val="00D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5C5DDC-174F-4308-B5FE-0AE93111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42"/>
      <w:szCs w:val="4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D51532"/>
      <w:w w:val="7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b/>
      <w:bCs/>
      <w:sz w:val="22"/>
      <w:szCs w:val="22"/>
    </w:rPr>
  </w:style>
  <w:style w:type="paragraph" w:styleId="BodyText">
    <w:name w:val="Body Text"/>
    <w:basedOn w:val="Normal"/>
    <w:link w:val="BodyTextChar"/>
    <w:qFormat/>
    <w:pPr>
      <w:spacing w:line="254" w:lineRule="auto"/>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spacing w:line="223" w:lineRule="auto"/>
      <w:jc w:val="center"/>
    </w:pPr>
    <w:rPr>
      <w:rFonts w:ascii="Arial" w:eastAsia="Arial" w:hAnsi="Arial" w:cs="Arial"/>
      <w:sz w:val="42"/>
      <w:szCs w:val="42"/>
    </w:rPr>
  </w:style>
  <w:style w:type="paragraph" w:customStyle="1" w:styleId="Bodytext20">
    <w:name w:val="Body text (2)"/>
    <w:basedOn w:val="Normal"/>
    <w:link w:val="Bodytext2"/>
    <w:rPr>
      <w:rFonts w:ascii="Arial" w:eastAsia="Arial" w:hAnsi="Arial" w:cs="Arial"/>
      <w:sz w:val="10"/>
      <w:szCs w:val="10"/>
    </w:rPr>
  </w:style>
  <w:style w:type="paragraph" w:customStyle="1" w:styleId="Bodytext40">
    <w:name w:val="Body text (4)"/>
    <w:basedOn w:val="Normal"/>
    <w:link w:val="Bodytext4"/>
    <w:pPr>
      <w:jc w:val="right"/>
    </w:pPr>
    <w:rPr>
      <w:rFonts w:ascii="Arial" w:eastAsia="Arial" w:hAnsi="Arial" w:cs="Arial"/>
      <w:b/>
      <w:bCs/>
      <w:color w:val="D51532"/>
      <w:w w:val="70"/>
      <w:sz w:val="22"/>
      <w:szCs w:val="22"/>
    </w:rPr>
  </w:style>
  <w:style w:type="paragraph" w:customStyle="1" w:styleId="Tablecaption0">
    <w:name w:val="Table caption"/>
    <w:basedOn w:val="Normal"/>
    <w:link w:val="Tablecaption"/>
    <w:pPr>
      <w:spacing w:line="250" w:lineRule="auto"/>
      <w:ind w:firstLine="350"/>
    </w:pPr>
    <w:rPr>
      <w:rFonts w:ascii="Times New Roman" w:eastAsia="Times New Roman" w:hAnsi="Times New Roman" w:cs="Times New Roman"/>
      <w:sz w:val="26"/>
      <w:szCs w:val="26"/>
    </w:rPr>
  </w:style>
  <w:style w:type="paragraph" w:customStyle="1" w:styleId="Other0">
    <w:name w:val="Other"/>
    <w:basedOn w:val="Normal"/>
    <w:link w:val="Other"/>
    <w:pPr>
      <w:spacing w:line="254" w:lineRule="auto"/>
      <w:ind w:firstLine="40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KG0wkqo5WJ+9LPx8t5VgnNZSw==">CgMxLjAyCGguZ2pkZ3hzOAByITFiMzEwYjZoVV9yZEFLVmV3VkFwcVN0aFp2dkZFN2dGRg==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2024-07-03T08:29:00Z</dcterms:created>
  <dcterms:modified xsi:type="dcterms:W3CDTF">2024-07-05T03:00:00Z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456c9b77e65403adb86b2f861f6ffa91c972f6a0d100ceadaf37031117a1b455</vt:lpwstr>
  </property>
</Properties>
</file>