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3377ABB" w:rsidR="000C7A5B" w:rsidRDefault="00642E6C" w:rsidP="007109E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bCs/>
          <w:color w:val="010000"/>
          <w:sz w:val="20"/>
        </w:rPr>
        <w:t>VBA123036:</w:t>
      </w:r>
      <w:r>
        <w:rPr>
          <w:rFonts w:ascii="Arial" w:hAnsi="Arial"/>
          <w:b/>
          <w:color w:val="010000"/>
          <w:sz w:val="20"/>
        </w:rPr>
        <w:t xml:space="preserve"> </w:t>
      </w:r>
      <w:r w:rsidR="0009266A">
        <w:rPr>
          <w:rFonts w:ascii="Arial" w:hAnsi="Arial"/>
          <w:b/>
          <w:color w:val="010000"/>
          <w:sz w:val="20"/>
        </w:rPr>
        <w:t>Notice</w:t>
      </w:r>
      <w:r w:rsidR="007109EB">
        <w:rPr>
          <w:rFonts w:ascii="Arial" w:hAnsi="Arial"/>
          <w:b/>
          <w:color w:val="010000"/>
          <w:sz w:val="20"/>
        </w:rPr>
        <w:t xml:space="preserve"> on</w:t>
      </w:r>
      <w:r>
        <w:rPr>
          <w:rFonts w:ascii="Arial" w:hAnsi="Arial"/>
          <w:b/>
          <w:color w:val="010000"/>
          <w:sz w:val="20"/>
        </w:rPr>
        <w:t xml:space="preserve"> public bond offering in 2024</w:t>
      </w:r>
    </w:p>
    <w:p w14:paraId="00000002" w14:textId="1A7CCC4B" w:rsidR="000C7A5B" w:rsidRDefault="00642E6C" w:rsidP="007109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July 02, 2024, Vietnam Bank for Agriculture and Rural Development announced Notice No.8812/</w:t>
      </w:r>
      <w:proofErr w:type="spellStart"/>
      <w:r>
        <w:rPr>
          <w:rFonts w:ascii="Arial" w:hAnsi="Arial"/>
          <w:color w:val="010000"/>
          <w:sz w:val="20"/>
        </w:rPr>
        <w:t>NHNo</w:t>
      </w:r>
      <w:proofErr w:type="spellEnd"/>
      <w:r>
        <w:rPr>
          <w:rFonts w:ascii="Arial" w:hAnsi="Arial"/>
          <w:color w:val="010000"/>
          <w:sz w:val="20"/>
        </w:rPr>
        <w:t xml:space="preserve">-KDVTT on the public bond offering as follows: </w:t>
      </w:r>
    </w:p>
    <w:p w14:paraId="00000003" w14:textId="1BB15F49" w:rsidR="000C7A5B" w:rsidRDefault="00642E6C" w:rsidP="007109EB">
      <w:pPr>
        <w:keepNext/>
        <w:numPr>
          <w:ilvl w:val="0"/>
          <w:numId w:val="4"/>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Pr>
          <w:rFonts w:ascii="Arial" w:hAnsi="Arial"/>
          <w:color w:val="010000"/>
          <w:sz w:val="20"/>
        </w:rPr>
        <w:t>Purposes of the offering</w:t>
      </w:r>
    </w:p>
    <w:p w14:paraId="00000004" w14:textId="77777777" w:rsidR="000C7A5B" w:rsidRDefault="00642E6C" w:rsidP="007109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purpose of issuing Bonds of </w:t>
      </w:r>
      <w:proofErr w:type="spellStart"/>
      <w:r>
        <w:rPr>
          <w:rFonts w:ascii="Arial" w:hAnsi="Arial"/>
          <w:color w:val="010000"/>
          <w:sz w:val="20"/>
        </w:rPr>
        <w:t>Agribank</w:t>
      </w:r>
      <w:proofErr w:type="spellEnd"/>
      <w:r>
        <w:rPr>
          <w:rFonts w:ascii="Arial" w:hAnsi="Arial"/>
          <w:color w:val="010000"/>
          <w:sz w:val="20"/>
        </w:rPr>
        <w:t xml:space="preserve"> publicly offered in 2024 and mature in 2034 is to:</w:t>
      </w:r>
    </w:p>
    <w:p w14:paraId="00000005" w14:textId="455BF5A3" w:rsidR="000C7A5B" w:rsidRDefault="00642E6C" w:rsidP="007109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Increase capital </w:t>
      </w:r>
      <w:r w:rsidR="0009266A">
        <w:rPr>
          <w:rFonts w:ascii="Arial" w:hAnsi="Arial"/>
          <w:color w:val="010000"/>
          <w:sz w:val="20"/>
        </w:rPr>
        <w:t xml:space="preserve">in level 2 </w:t>
      </w:r>
      <w:r>
        <w:rPr>
          <w:rFonts w:ascii="Arial" w:hAnsi="Arial"/>
          <w:color w:val="010000"/>
          <w:sz w:val="20"/>
        </w:rPr>
        <w:t xml:space="preserve">to meet </w:t>
      </w:r>
      <w:proofErr w:type="spellStart"/>
      <w:r>
        <w:rPr>
          <w:rFonts w:ascii="Arial" w:hAnsi="Arial"/>
          <w:color w:val="010000"/>
          <w:sz w:val="20"/>
        </w:rPr>
        <w:t>Agribank's</w:t>
      </w:r>
      <w:proofErr w:type="spellEnd"/>
      <w:r>
        <w:rPr>
          <w:rFonts w:ascii="Arial" w:hAnsi="Arial"/>
          <w:color w:val="010000"/>
          <w:sz w:val="20"/>
        </w:rPr>
        <w:t xml:space="preserve"> operating security rate pursuant to regulations of the State Bank.</w:t>
      </w:r>
    </w:p>
    <w:p w14:paraId="00000006" w14:textId="196D06DD" w:rsidR="000C7A5B" w:rsidRDefault="00642E6C" w:rsidP="007109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Increase the scale </w:t>
      </w:r>
      <w:r w:rsidR="0009266A">
        <w:rPr>
          <w:rFonts w:ascii="Arial" w:hAnsi="Arial"/>
          <w:color w:val="010000"/>
          <w:sz w:val="20"/>
        </w:rPr>
        <w:t>on</w:t>
      </w:r>
      <w:r>
        <w:rPr>
          <w:rFonts w:ascii="Arial" w:hAnsi="Arial"/>
          <w:color w:val="010000"/>
          <w:sz w:val="20"/>
        </w:rPr>
        <w:t xml:space="preserve"> operating capital, meeting the lending needs of the economy in general, especially medium and long-term investment projects.</w:t>
      </w:r>
    </w:p>
    <w:p w14:paraId="00000007" w14:textId="77777777" w:rsidR="000C7A5B" w:rsidRDefault="00642E6C" w:rsidP="007109EB">
      <w:pPr>
        <w:keepNext/>
        <w:numPr>
          <w:ilvl w:val="0"/>
          <w:numId w:val="4"/>
        </w:numPr>
        <w:pBdr>
          <w:top w:val="nil"/>
          <w:left w:val="nil"/>
          <w:bottom w:val="nil"/>
          <w:right w:val="nil"/>
          <w:between w:val="nil"/>
        </w:pBdr>
        <w:tabs>
          <w:tab w:val="left" w:pos="432"/>
          <w:tab w:val="left" w:pos="520"/>
        </w:tabs>
        <w:spacing w:after="120" w:line="360" w:lineRule="auto"/>
        <w:jc w:val="both"/>
        <w:rPr>
          <w:rFonts w:ascii="Arial" w:eastAsia="Arial" w:hAnsi="Arial" w:cs="Arial"/>
          <w:color w:val="010000"/>
          <w:sz w:val="20"/>
          <w:szCs w:val="20"/>
        </w:rPr>
      </w:pPr>
      <w:r>
        <w:rPr>
          <w:rFonts w:ascii="Arial" w:hAnsi="Arial"/>
          <w:color w:val="010000"/>
          <w:sz w:val="20"/>
        </w:rPr>
        <w:t>Offering plan</w:t>
      </w:r>
    </w:p>
    <w:p w14:paraId="00000008" w14:textId="77777777" w:rsidR="000C7A5B" w:rsidRDefault="00642E6C" w:rsidP="007109EB">
      <w:pPr>
        <w:numPr>
          <w:ilvl w:val="0"/>
          <w:numId w:val="1"/>
        </w:numPr>
        <w:pBdr>
          <w:top w:val="nil"/>
          <w:left w:val="nil"/>
          <w:bottom w:val="nil"/>
          <w:right w:val="nil"/>
          <w:between w:val="nil"/>
        </w:pBdr>
        <w:tabs>
          <w:tab w:val="left" w:pos="333"/>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Bond name: Bonds of </w:t>
      </w:r>
      <w:proofErr w:type="spellStart"/>
      <w:r>
        <w:rPr>
          <w:rFonts w:ascii="Arial" w:hAnsi="Arial"/>
          <w:color w:val="010000"/>
          <w:sz w:val="20"/>
        </w:rPr>
        <w:t>Agribank</w:t>
      </w:r>
      <w:proofErr w:type="spellEnd"/>
      <w:r>
        <w:rPr>
          <w:rFonts w:ascii="Arial" w:hAnsi="Arial"/>
          <w:color w:val="010000"/>
          <w:sz w:val="20"/>
        </w:rPr>
        <w:t xml:space="preserve"> publicly offered in 2024 and mature in 2034.</w:t>
      </w:r>
    </w:p>
    <w:p w14:paraId="0000000A" w14:textId="11880554" w:rsidR="000C7A5B" w:rsidRPr="005A7BC9" w:rsidRDefault="00642E6C" w:rsidP="007109EB">
      <w:pPr>
        <w:numPr>
          <w:ilvl w:val="0"/>
          <w:numId w:val="1"/>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Bond type: Inconvertible bonds, not covered by assets of </w:t>
      </w:r>
      <w:proofErr w:type="spellStart"/>
      <w:r>
        <w:rPr>
          <w:rFonts w:ascii="Arial" w:hAnsi="Arial"/>
          <w:color w:val="010000"/>
          <w:sz w:val="20"/>
        </w:rPr>
        <w:t>Agribank</w:t>
      </w:r>
      <w:proofErr w:type="spellEnd"/>
      <w:r>
        <w:rPr>
          <w:rFonts w:ascii="Arial" w:hAnsi="Arial"/>
          <w:color w:val="010000"/>
          <w:sz w:val="20"/>
        </w:rPr>
        <w:t>, without warrants, and meet the conditions to be included in capital</w:t>
      </w:r>
      <w:r w:rsidR="0009266A">
        <w:rPr>
          <w:rFonts w:ascii="Arial" w:hAnsi="Arial"/>
          <w:color w:val="010000"/>
          <w:sz w:val="20"/>
        </w:rPr>
        <w:t xml:space="preserve"> in level 2</w:t>
      </w:r>
      <w:r>
        <w:rPr>
          <w:rFonts w:ascii="Arial" w:hAnsi="Arial"/>
          <w:color w:val="010000"/>
          <w:sz w:val="20"/>
        </w:rPr>
        <w:t xml:space="preserve"> pursuant to current provisions of law.</w:t>
      </w:r>
    </w:p>
    <w:p w14:paraId="0000000B" w14:textId="77777777" w:rsidR="000C7A5B" w:rsidRDefault="00642E6C" w:rsidP="007109EB">
      <w:pPr>
        <w:numPr>
          <w:ilvl w:val="0"/>
          <w:numId w:val="1"/>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Bond code before listing: AGRIBANK243401.</w:t>
      </w:r>
    </w:p>
    <w:p w14:paraId="0000000C" w14:textId="77777777" w:rsidR="000C7A5B" w:rsidRDefault="00642E6C" w:rsidP="007109EB">
      <w:pPr>
        <w:numPr>
          <w:ilvl w:val="0"/>
          <w:numId w:val="1"/>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Bond par value: VND100,000/bond.</w:t>
      </w:r>
    </w:p>
    <w:p w14:paraId="0000000D" w14:textId="77777777" w:rsidR="000C7A5B" w:rsidRDefault="00642E6C" w:rsidP="007109EB">
      <w:pPr>
        <w:numPr>
          <w:ilvl w:val="0"/>
          <w:numId w:val="1"/>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Total number of bonds offered: 100,000,000 bonds.</w:t>
      </w:r>
    </w:p>
    <w:p w14:paraId="0000000E" w14:textId="77777777" w:rsidR="000C7A5B" w:rsidRDefault="00642E6C" w:rsidP="007109EB">
      <w:pPr>
        <w:numPr>
          <w:ilvl w:val="0"/>
          <w:numId w:val="1"/>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Total value of offered bonds at par value: VND10,000,000,000,000.</w:t>
      </w:r>
    </w:p>
    <w:p w14:paraId="0000000F" w14:textId="2A347C52" w:rsidR="000C7A5B" w:rsidRDefault="00642E6C" w:rsidP="007109EB">
      <w:pPr>
        <w:numPr>
          <w:ilvl w:val="0"/>
          <w:numId w:val="1"/>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Bond term: 10 years (maturity date is 10 years from the </w:t>
      </w:r>
      <w:r w:rsidR="007109EB">
        <w:rPr>
          <w:rFonts w:ascii="Arial" w:hAnsi="Arial"/>
          <w:color w:val="010000"/>
          <w:sz w:val="20"/>
        </w:rPr>
        <w:t>issue</w:t>
      </w:r>
      <w:r>
        <w:rPr>
          <w:rFonts w:ascii="Arial" w:hAnsi="Arial"/>
          <w:color w:val="010000"/>
          <w:sz w:val="20"/>
        </w:rPr>
        <w:t xml:space="preserve"> date).</w:t>
      </w:r>
    </w:p>
    <w:p w14:paraId="00000010" w14:textId="77777777" w:rsidR="000C7A5B" w:rsidRDefault="00642E6C" w:rsidP="007109EB">
      <w:pPr>
        <w:numPr>
          <w:ilvl w:val="0"/>
          <w:numId w:val="1"/>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Interest rate: The interest rate of Bonds of </w:t>
      </w:r>
      <w:proofErr w:type="spellStart"/>
      <w:r>
        <w:rPr>
          <w:rFonts w:ascii="Arial" w:hAnsi="Arial"/>
          <w:color w:val="010000"/>
          <w:sz w:val="20"/>
        </w:rPr>
        <w:t>Agribank</w:t>
      </w:r>
      <w:proofErr w:type="spellEnd"/>
      <w:r>
        <w:rPr>
          <w:rFonts w:ascii="Arial" w:hAnsi="Arial"/>
          <w:color w:val="010000"/>
          <w:sz w:val="20"/>
        </w:rPr>
        <w:t xml:space="preserve"> publicly offered in 2024 is a floating interest rate, determined pursuant to the following formula:</w:t>
      </w:r>
    </w:p>
    <w:p w14:paraId="00000011" w14:textId="77777777" w:rsidR="000C7A5B" w:rsidRDefault="00642E6C" w:rsidP="007109EB">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Bond Interest Rate = Reference Interest Rate + Margin</w:t>
      </w:r>
    </w:p>
    <w:p w14:paraId="00000012" w14:textId="77777777" w:rsidR="000C7A5B" w:rsidRDefault="00642E6C" w:rsidP="007109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which:</w:t>
      </w:r>
    </w:p>
    <w:p w14:paraId="00000013" w14:textId="002FFA96" w:rsidR="000C7A5B" w:rsidRDefault="00642E6C" w:rsidP="007109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Reference Interest Rate: is the reference interest rate used to determine the interest rate for each interest term equal to the average interest rate of personal savings deposits in VND, 12-month term, interest payment at the end of the term (or interest rate of equivalent term) disclosed on the official websites of four Vietnamese commercial banks including: BIDV, </w:t>
      </w:r>
      <w:proofErr w:type="spellStart"/>
      <w:r>
        <w:rPr>
          <w:rFonts w:ascii="Arial" w:hAnsi="Arial"/>
          <w:color w:val="010000"/>
          <w:sz w:val="20"/>
        </w:rPr>
        <w:t>Vietinbank</w:t>
      </w:r>
      <w:proofErr w:type="spellEnd"/>
      <w:r>
        <w:rPr>
          <w:rFonts w:ascii="Arial" w:hAnsi="Arial"/>
          <w:color w:val="010000"/>
          <w:sz w:val="20"/>
        </w:rPr>
        <w:t xml:space="preserve">, </w:t>
      </w:r>
      <w:proofErr w:type="spellStart"/>
      <w:r>
        <w:rPr>
          <w:rFonts w:ascii="Arial" w:hAnsi="Arial"/>
          <w:color w:val="010000"/>
          <w:sz w:val="20"/>
        </w:rPr>
        <w:t>Agribank</w:t>
      </w:r>
      <w:proofErr w:type="spellEnd"/>
      <w:r>
        <w:rPr>
          <w:rFonts w:ascii="Arial" w:hAnsi="Arial"/>
          <w:color w:val="010000"/>
          <w:sz w:val="20"/>
        </w:rPr>
        <w:t xml:space="preserve"> </w:t>
      </w:r>
      <w:r w:rsidR="0009266A">
        <w:rPr>
          <w:rFonts w:ascii="Arial" w:hAnsi="Arial"/>
          <w:color w:val="010000"/>
          <w:sz w:val="20"/>
        </w:rPr>
        <w:t>and</w:t>
      </w:r>
      <w:r>
        <w:rPr>
          <w:rFonts w:ascii="Arial" w:hAnsi="Arial"/>
          <w:color w:val="010000"/>
          <w:sz w:val="20"/>
        </w:rPr>
        <w:t xml:space="preserve"> </w:t>
      </w:r>
      <w:proofErr w:type="spellStart"/>
      <w:r>
        <w:rPr>
          <w:rFonts w:ascii="Arial" w:hAnsi="Arial"/>
          <w:color w:val="010000"/>
          <w:sz w:val="20"/>
        </w:rPr>
        <w:t>Vietcombank</w:t>
      </w:r>
      <w:proofErr w:type="spellEnd"/>
      <w:r>
        <w:rPr>
          <w:rFonts w:ascii="Arial" w:hAnsi="Arial"/>
          <w:color w:val="010000"/>
          <w:sz w:val="20"/>
        </w:rPr>
        <w:t xml:space="preserve"> at the Interest Rate Determination Date. For clarity, the bond interest rate, if not an integer, will be rounded to two decimal places.</w:t>
      </w:r>
    </w:p>
    <w:p w14:paraId="00000014" w14:textId="77777777" w:rsidR="000C7A5B" w:rsidRDefault="00642E6C" w:rsidP="007109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Margin: 2.0% per year.</w:t>
      </w:r>
    </w:p>
    <w:p w14:paraId="00000015" w14:textId="77777777" w:rsidR="000C7A5B" w:rsidRDefault="00642E6C" w:rsidP="007109EB">
      <w:pPr>
        <w:numPr>
          <w:ilvl w:val="0"/>
          <w:numId w:val="3"/>
        </w:numPr>
        <w:pBdr>
          <w:top w:val="nil"/>
          <w:left w:val="nil"/>
          <w:bottom w:val="nil"/>
          <w:right w:val="nil"/>
          <w:between w:val="nil"/>
        </w:pBdr>
        <w:tabs>
          <w:tab w:val="left" w:pos="432"/>
        </w:tabs>
        <w:spacing w:line="360" w:lineRule="auto"/>
        <w:ind w:left="0" w:firstLine="0"/>
        <w:jc w:val="both"/>
        <w:rPr>
          <w:rFonts w:ascii="Arial" w:eastAsia="Arial" w:hAnsi="Arial" w:cs="Arial"/>
          <w:color w:val="010000"/>
          <w:sz w:val="20"/>
          <w:szCs w:val="20"/>
        </w:rPr>
      </w:pPr>
      <w:r>
        <w:rPr>
          <w:rFonts w:ascii="Arial" w:hAnsi="Arial"/>
          <w:color w:val="010000"/>
          <w:sz w:val="20"/>
        </w:rPr>
        <w:t xml:space="preserve">If </w:t>
      </w:r>
      <w:proofErr w:type="spellStart"/>
      <w:r>
        <w:rPr>
          <w:rFonts w:ascii="Arial" w:hAnsi="Arial"/>
          <w:color w:val="010000"/>
          <w:sz w:val="20"/>
        </w:rPr>
        <w:t>Agribank</w:t>
      </w:r>
      <w:proofErr w:type="spellEnd"/>
      <w:r>
        <w:rPr>
          <w:rFonts w:ascii="Arial" w:hAnsi="Arial"/>
          <w:color w:val="010000"/>
          <w:sz w:val="20"/>
        </w:rPr>
        <w:t xml:space="preserve"> does not redeem on the date of exercising the redemption right, the margin = 3.0%/year applies for the last 05 years.</w:t>
      </w:r>
    </w:p>
    <w:p w14:paraId="00000016" w14:textId="5E26F81A" w:rsidR="000C7A5B" w:rsidRDefault="00642E6C" w:rsidP="007109EB">
      <w:pPr>
        <w:numPr>
          <w:ilvl w:val="0"/>
          <w:numId w:val="1"/>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Pr>
          <w:rFonts w:ascii="Arial" w:hAnsi="Arial"/>
          <w:color w:val="010000"/>
          <w:sz w:val="20"/>
        </w:rPr>
        <w:t>Interest payment term: The Bond Interest is postpaid, periodically every 01 year</w:t>
      </w:r>
      <w:r w:rsidR="0009266A">
        <w:rPr>
          <w:rFonts w:ascii="Arial" w:hAnsi="Arial"/>
          <w:color w:val="010000"/>
          <w:sz w:val="20"/>
        </w:rPr>
        <w:t xml:space="preserve"> has one time</w:t>
      </w:r>
      <w:r>
        <w:rPr>
          <w:rFonts w:ascii="Arial" w:hAnsi="Arial"/>
          <w:color w:val="010000"/>
          <w:sz w:val="20"/>
        </w:rPr>
        <w:t xml:space="preserve"> on the "Interest Payment Date" which is the day after exactly 01 </w:t>
      </w:r>
      <w:proofErr w:type="gramStart"/>
      <w:r>
        <w:rPr>
          <w:rFonts w:ascii="Arial" w:hAnsi="Arial"/>
          <w:color w:val="010000"/>
          <w:sz w:val="20"/>
        </w:rPr>
        <w:t>year</w:t>
      </w:r>
      <w:proofErr w:type="gramEnd"/>
      <w:r>
        <w:rPr>
          <w:rFonts w:ascii="Arial" w:hAnsi="Arial"/>
          <w:color w:val="010000"/>
          <w:sz w:val="20"/>
        </w:rPr>
        <w:t xml:space="preserve"> from the Issue Date, only interest for the last Interest Payment Term of the Bond will be paid together with the Bond principal on the maturity </w:t>
      </w:r>
      <w:r>
        <w:rPr>
          <w:rFonts w:ascii="Arial" w:hAnsi="Arial"/>
          <w:color w:val="010000"/>
          <w:sz w:val="20"/>
        </w:rPr>
        <w:lastRenderedPageBreak/>
        <w:t>date. If the Bonds are redeemed by the Issuer on the Date of exercising the Redemption Right, the last Interest Payment Date of the Bonds and the interest thereof will be paid together with the Bond principal on the Date of exercising the Redemption Right.</w:t>
      </w:r>
    </w:p>
    <w:p w14:paraId="00000017" w14:textId="77777777" w:rsidR="000C7A5B" w:rsidRDefault="00642E6C" w:rsidP="007109EB">
      <w:pPr>
        <w:numPr>
          <w:ilvl w:val="0"/>
          <w:numId w:val="1"/>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Pr>
          <w:rFonts w:ascii="Arial" w:hAnsi="Arial"/>
          <w:color w:val="010000"/>
          <w:sz w:val="20"/>
        </w:rPr>
        <w:t>Offering price: VND100,000/bond.</w:t>
      </w:r>
    </w:p>
    <w:p w14:paraId="00000018" w14:textId="0BEDA321" w:rsidR="000C7A5B" w:rsidRDefault="00642E6C" w:rsidP="007109EB">
      <w:pPr>
        <w:numPr>
          <w:ilvl w:val="0"/>
          <w:numId w:val="1"/>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Pr>
          <w:rFonts w:ascii="Arial" w:hAnsi="Arial"/>
          <w:color w:val="010000"/>
          <w:sz w:val="20"/>
        </w:rPr>
        <w:t xml:space="preserve">Distribution method (through underwriting organization, </w:t>
      </w:r>
      <w:r w:rsidR="007109EB">
        <w:rPr>
          <w:rFonts w:ascii="Arial" w:hAnsi="Arial"/>
          <w:color w:val="010000"/>
          <w:sz w:val="20"/>
        </w:rPr>
        <w:t>issue</w:t>
      </w:r>
      <w:r>
        <w:rPr>
          <w:rFonts w:ascii="Arial" w:hAnsi="Arial"/>
          <w:color w:val="010000"/>
          <w:sz w:val="20"/>
        </w:rPr>
        <w:t xml:space="preserve"> agency...). Bonds are sold directly to investors at </w:t>
      </w:r>
      <w:proofErr w:type="spellStart"/>
      <w:r>
        <w:rPr>
          <w:rFonts w:ascii="Arial" w:hAnsi="Arial"/>
          <w:color w:val="010000"/>
          <w:sz w:val="20"/>
        </w:rPr>
        <w:t>Agribank's</w:t>
      </w:r>
      <w:proofErr w:type="spellEnd"/>
      <w:r>
        <w:rPr>
          <w:rFonts w:ascii="Arial" w:hAnsi="Arial"/>
          <w:color w:val="010000"/>
          <w:sz w:val="20"/>
        </w:rPr>
        <w:t xml:space="preserve"> Headquarters, </w:t>
      </w:r>
      <w:r w:rsidR="0009266A">
        <w:rPr>
          <w:rFonts w:ascii="Arial" w:hAnsi="Arial"/>
          <w:color w:val="010000"/>
          <w:sz w:val="20"/>
        </w:rPr>
        <w:t xml:space="preserve">nationwide </w:t>
      </w:r>
      <w:r>
        <w:rPr>
          <w:rFonts w:ascii="Arial" w:hAnsi="Arial"/>
          <w:color w:val="010000"/>
          <w:sz w:val="20"/>
        </w:rPr>
        <w:t xml:space="preserve">Branches/Transaction Offices and distributed through </w:t>
      </w:r>
      <w:r w:rsidR="007109EB">
        <w:rPr>
          <w:rFonts w:ascii="Arial" w:hAnsi="Arial"/>
          <w:color w:val="010000"/>
          <w:sz w:val="20"/>
        </w:rPr>
        <w:t>Issue</w:t>
      </w:r>
      <w:r>
        <w:rPr>
          <w:rFonts w:ascii="Arial" w:hAnsi="Arial"/>
          <w:color w:val="010000"/>
          <w:sz w:val="20"/>
        </w:rPr>
        <w:t xml:space="preserve"> Agency, </w:t>
      </w:r>
      <w:proofErr w:type="spellStart"/>
      <w:r>
        <w:rPr>
          <w:rFonts w:ascii="Arial" w:hAnsi="Arial"/>
          <w:color w:val="010000"/>
          <w:sz w:val="20"/>
        </w:rPr>
        <w:t>Agribank</w:t>
      </w:r>
      <w:proofErr w:type="spellEnd"/>
      <w:r>
        <w:rPr>
          <w:rFonts w:ascii="Arial" w:hAnsi="Arial"/>
          <w:color w:val="010000"/>
          <w:sz w:val="20"/>
        </w:rPr>
        <w:t xml:space="preserve"> Securities Corporation (</w:t>
      </w:r>
      <w:proofErr w:type="spellStart"/>
      <w:r>
        <w:rPr>
          <w:rFonts w:ascii="Arial" w:hAnsi="Arial"/>
          <w:color w:val="010000"/>
          <w:sz w:val="20"/>
        </w:rPr>
        <w:t>Agriseco</w:t>
      </w:r>
      <w:proofErr w:type="spellEnd"/>
      <w:r>
        <w:rPr>
          <w:rFonts w:ascii="Arial" w:hAnsi="Arial"/>
          <w:color w:val="010000"/>
          <w:sz w:val="20"/>
        </w:rPr>
        <w:t>).</w:t>
      </w:r>
    </w:p>
    <w:p w14:paraId="00000019" w14:textId="612FD643" w:rsidR="000C7A5B" w:rsidRDefault="00642E6C" w:rsidP="007109EB">
      <w:pPr>
        <w:numPr>
          <w:ilvl w:val="0"/>
          <w:numId w:val="1"/>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Pr>
          <w:rFonts w:ascii="Arial" w:hAnsi="Arial"/>
          <w:color w:val="010000"/>
          <w:sz w:val="20"/>
        </w:rPr>
        <w:t>Minimum number of shares registered to purchase: 01 bond.</w:t>
      </w:r>
    </w:p>
    <w:p w14:paraId="0000001A" w14:textId="77777777" w:rsidR="000C7A5B" w:rsidRDefault="00642E6C" w:rsidP="007109EB">
      <w:pPr>
        <w:numPr>
          <w:ilvl w:val="0"/>
          <w:numId w:val="1"/>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Pr>
          <w:rFonts w:ascii="Arial" w:hAnsi="Arial"/>
          <w:color w:val="010000"/>
          <w:sz w:val="20"/>
        </w:rPr>
        <w:t>Time to receive purchase registration: From July 11, 2024, to August 14, 2024.</w:t>
      </w:r>
    </w:p>
    <w:p w14:paraId="0000001B" w14:textId="77777777" w:rsidR="000C7A5B" w:rsidRDefault="00642E6C" w:rsidP="007109EB">
      <w:pPr>
        <w:numPr>
          <w:ilvl w:val="0"/>
          <w:numId w:val="1"/>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Pr>
          <w:rFonts w:ascii="Arial" w:hAnsi="Arial"/>
          <w:color w:val="010000"/>
          <w:sz w:val="20"/>
        </w:rPr>
        <w:t>Venue of receiving registration for the purchase of bonds:</w:t>
      </w:r>
    </w:p>
    <w:p w14:paraId="0000001C" w14:textId="61A9BA41" w:rsidR="000C7A5B" w:rsidRDefault="00642E6C" w:rsidP="007109EB">
      <w:pPr>
        <w:numPr>
          <w:ilvl w:val="0"/>
          <w:numId w:val="2"/>
        </w:numPr>
        <w:pBdr>
          <w:top w:val="nil"/>
          <w:left w:val="nil"/>
          <w:bottom w:val="nil"/>
          <w:right w:val="nil"/>
          <w:between w:val="nil"/>
        </w:pBdr>
        <w:tabs>
          <w:tab w:val="left" w:pos="334"/>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At the Issuer: Investors register to purchase Bonds directly at the Headquarters and </w:t>
      </w:r>
      <w:r w:rsidR="0009266A">
        <w:rPr>
          <w:rFonts w:ascii="Arial" w:hAnsi="Arial"/>
          <w:color w:val="010000"/>
          <w:sz w:val="20"/>
        </w:rPr>
        <w:t xml:space="preserve">nationwide </w:t>
      </w:r>
      <w:r>
        <w:rPr>
          <w:rFonts w:ascii="Arial" w:hAnsi="Arial"/>
          <w:color w:val="010000"/>
          <w:sz w:val="20"/>
        </w:rPr>
        <w:t xml:space="preserve">Branches/Transaction Offices of the Issuer. Detailed addresses of Branches/Transaction Offices are posted at </w:t>
      </w:r>
      <w:hyperlink r:id="rId6">
        <w:r>
          <w:rPr>
            <w:rFonts w:ascii="Arial" w:hAnsi="Arial"/>
            <w:color w:val="010000"/>
            <w:sz w:val="20"/>
          </w:rPr>
          <w:t>https://www.agribank.com.vn/</w:t>
        </w:r>
      </w:hyperlink>
      <w:r>
        <w:rPr>
          <w:rFonts w:ascii="Arial" w:hAnsi="Arial"/>
          <w:color w:val="010000"/>
          <w:sz w:val="20"/>
        </w:rPr>
        <w:t>.</w:t>
      </w:r>
    </w:p>
    <w:p w14:paraId="0000001D" w14:textId="17E1C560" w:rsidR="000C7A5B" w:rsidRDefault="00642E6C" w:rsidP="007109EB">
      <w:pPr>
        <w:numPr>
          <w:ilvl w:val="0"/>
          <w:numId w:val="2"/>
        </w:numPr>
        <w:pBdr>
          <w:top w:val="nil"/>
          <w:left w:val="nil"/>
          <w:bottom w:val="nil"/>
          <w:right w:val="nil"/>
          <w:between w:val="nil"/>
        </w:pBdr>
        <w:tabs>
          <w:tab w:val="left" w:pos="334"/>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At the </w:t>
      </w:r>
      <w:r w:rsidR="007109EB">
        <w:rPr>
          <w:rFonts w:ascii="Arial" w:hAnsi="Arial"/>
          <w:color w:val="010000"/>
          <w:sz w:val="20"/>
        </w:rPr>
        <w:t>Issue</w:t>
      </w:r>
      <w:r>
        <w:rPr>
          <w:rFonts w:ascii="Arial" w:hAnsi="Arial"/>
          <w:color w:val="010000"/>
          <w:sz w:val="20"/>
        </w:rPr>
        <w:t xml:space="preserve"> Agency: Investors register to purchase Bonds directly at the Headquarters and</w:t>
      </w:r>
      <w:r w:rsidR="0009266A">
        <w:rPr>
          <w:rFonts w:ascii="Arial" w:hAnsi="Arial"/>
          <w:color w:val="010000"/>
          <w:sz w:val="20"/>
        </w:rPr>
        <w:t xml:space="preserve"> nationwide </w:t>
      </w:r>
      <w:r>
        <w:rPr>
          <w:rFonts w:ascii="Arial" w:hAnsi="Arial"/>
          <w:color w:val="010000"/>
          <w:sz w:val="20"/>
        </w:rPr>
        <w:t xml:space="preserve">Branches of the </w:t>
      </w:r>
      <w:r w:rsidR="007109EB">
        <w:rPr>
          <w:rFonts w:ascii="Arial" w:hAnsi="Arial"/>
          <w:color w:val="010000"/>
          <w:sz w:val="20"/>
        </w:rPr>
        <w:t>Issue</w:t>
      </w:r>
      <w:r>
        <w:rPr>
          <w:rFonts w:ascii="Arial" w:hAnsi="Arial"/>
          <w:color w:val="010000"/>
          <w:sz w:val="20"/>
        </w:rPr>
        <w:t xml:space="preserve"> Agency. Detailed addresses of Branches are posted at </w:t>
      </w:r>
      <w:hyperlink r:id="rId7">
        <w:r>
          <w:rPr>
            <w:rFonts w:ascii="Arial" w:hAnsi="Arial"/>
            <w:color w:val="010000"/>
            <w:sz w:val="20"/>
          </w:rPr>
          <w:t>https://www.agriseco.com.vn/</w:t>
        </w:r>
      </w:hyperlink>
      <w:r>
        <w:rPr>
          <w:rFonts w:ascii="Arial" w:hAnsi="Arial"/>
          <w:color w:val="010000"/>
          <w:sz w:val="20"/>
        </w:rPr>
        <w:t>.</w:t>
      </w:r>
    </w:p>
    <w:p w14:paraId="0000001E" w14:textId="67596648" w:rsidR="000C7A5B" w:rsidRDefault="00642E6C" w:rsidP="007109EB">
      <w:pPr>
        <w:numPr>
          <w:ilvl w:val="0"/>
          <w:numId w:val="1"/>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Pr>
          <w:rFonts w:ascii="Arial" w:hAnsi="Arial"/>
          <w:color w:val="010000"/>
          <w:sz w:val="20"/>
        </w:rPr>
        <w:t>Time for receiving money from the bond purchase: From Ju</w:t>
      </w:r>
      <w:r w:rsidR="007109EB">
        <w:rPr>
          <w:rFonts w:ascii="Arial" w:hAnsi="Arial"/>
          <w:color w:val="010000"/>
          <w:sz w:val="20"/>
        </w:rPr>
        <w:t>ly 11, 2024, to August 14, 2024</w:t>
      </w:r>
      <w:bookmarkStart w:id="0" w:name="_GoBack"/>
      <w:bookmarkEnd w:id="0"/>
    </w:p>
    <w:p w14:paraId="0000001F" w14:textId="77777777" w:rsidR="000C7A5B" w:rsidRDefault="00642E6C" w:rsidP="007109EB">
      <w:pPr>
        <w:numPr>
          <w:ilvl w:val="0"/>
          <w:numId w:val="1"/>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Pr>
          <w:rFonts w:ascii="Arial" w:hAnsi="Arial"/>
          <w:color w:val="010000"/>
          <w:sz w:val="20"/>
        </w:rPr>
        <w:t>Blocked accounts receive payment for bond purchase</w:t>
      </w:r>
    </w:p>
    <w:p w14:paraId="00000020" w14:textId="77777777" w:rsidR="000C7A5B" w:rsidRDefault="00642E6C" w:rsidP="007109EB">
      <w:pPr>
        <w:numPr>
          <w:ilvl w:val="0"/>
          <w:numId w:val="2"/>
        </w:numPr>
        <w:pBdr>
          <w:top w:val="nil"/>
          <w:left w:val="nil"/>
          <w:bottom w:val="nil"/>
          <w:right w:val="nil"/>
          <w:between w:val="nil"/>
        </w:pBdr>
        <w:tabs>
          <w:tab w:val="left" w:pos="334"/>
          <w:tab w:val="left" w:pos="432"/>
        </w:tabs>
        <w:spacing w:after="120" w:line="360" w:lineRule="auto"/>
        <w:jc w:val="both"/>
        <w:rPr>
          <w:rFonts w:ascii="Arial" w:eastAsia="Arial" w:hAnsi="Arial" w:cs="Arial"/>
          <w:color w:val="010000"/>
          <w:sz w:val="20"/>
          <w:szCs w:val="20"/>
        </w:rPr>
      </w:pPr>
      <w:r>
        <w:rPr>
          <w:rFonts w:ascii="Arial" w:hAnsi="Arial"/>
          <w:color w:val="010000"/>
          <w:sz w:val="20"/>
        </w:rPr>
        <w:t>Account number: 1220983668.</w:t>
      </w:r>
    </w:p>
    <w:p w14:paraId="00000021" w14:textId="77777777" w:rsidR="000C7A5B" w:rsidRDefault="00642E6C" w:rsidP="007109EB">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Opened at: Joint Stock Commercial Bank for Investment and Development of Vietnam - Ha Thanh Branch.</w:t>
      </w:r>
    </w:p>
    <w:p w14:paraId="00000022" w14:textId="77777777" w:rsidR="000C7A5B" w:rsidRDefault="00642E6C" w:rsidP="007109EB">
      <w:pPr>
        <w:numPr>
          <w:ilvl w:val="0"/>
          <w:numId w:val="1"/>
        </w:numPr>
        <w:pBdr>
          <w:top w:val="nil"/>
          <w:left w:val="nil"/>
          <w:bottom w:val="nil"/>
          <w:right w:val="nil"/>
          <w:between w:val="nil"/>
        </w:pBdr>
        <w:tabs>
          <w:tab w:val="left" w:pos="452"/>
        </w:tabs>
        <w:spacing w:after="120" w:line="360" w:lineRule="auto"/>
        <w:jc w:val="both"/>
        <w:rPr>
          <w:rFonts w:ascii="Arial" w:eastAsia="Arial" w:hAnsi="Arial" w:cs="Arial"/>
          <w:color w:val="010000"/>
          <w:sz w:val="20"/>
          <w:szCs w:val="20"/>
        </w:rPr>
      </w:pPr>
      <w:r>
        <w:rPr>
          <w:rFonts w:ascii="Arial" w:hAnsi="Arial"/>
          <w:color w:val="010000"/>
          <w:sz w:val="20"/>
        </w:rPr>
        <w:t>Terms of bond conversion (in case of offering convertible bonds, stating term, conversion rate): None.</w:t>
      </w:r>
    </w:p>
    <w:p w14:paraId="00000023" w14:textId="77777777" w:rsidR="000C7A5B" w:rsidRDefault="00642E6C" w:rsidP="007109EB">
      <w:pPr>
        <w:numPr>
          <w:ilvl w:val="0"/>
          <w:numId w:val="1"/>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Pr>
          <w:rFonts w:ascii="Arial" w:hAnsi="Arial"/>
          <w:color w:val="010000"/>
          <w:sz w:val="20"/>
        </w:rPr>
        <w:t>Terms for warrants attached to bonds (in case of offering bonds with warrants, stating term, right exercise rate, and share price at which the warrants are exercised).</w:t>
      </w:r>
    </w:p>
    <w:p w14:paraId="00000024" w14:textId="77777777" w:rsidR="000C7A5B" w:rsidRDefault="00642E6C" w:rsidP="007109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None.</w:t>
      </w:r>
    </w:p>
    <w:p w14:paraId="00000025" w14:textId="77777777" w:rsidR="000C7A5B" w:rsidRDefault="00642E6C" w:rsidP="007109EB">
      <w:pPr>
        <w:numPr>
          <w:ilvl w:val="0"/>
          <w:numId w:val="1"/>
        </w:numPr>
        <w:pBdr>
          <w:top w:val="nil"/>
          <w:left w:val="nil"/>
          <w:bottom w:val="nil"/>
          <w:right w:val="nil"/>
          <w:between w:val="nil"/>
        </w:pBdr>
        <w:tabs>
          <w:tab w:val="left" w:pos="452"/>
        </w:tabs>
        <w:spacing w:after="120" w:line="360" w:lineRule="auto"/>
        <w:jc w:val="both"/>
        <w:rPr>
          <w:rFonts w:ascii="Arial" w:eastAsia="Arial" w:hAnsi="Arial" w:cs="Arial"/>
          <w:color w:val="010000"/>
          <w:sz w:val="20"/>
          <w:szCs w:val="20"/>
        </w:rPr>
      </w:pPr>
      <w:r>
        <w:rPr>
          <w:rFonts w:ascii="Arial" w:hAnsi="Arial"/>
          <w:color w:val="010000"/>
          <w:sz w:val="20"/>
        </w:rPr>
        <w:t>Information related to covered bonds (in case of offering covered bonds, stating form, value, method of guarantee): None.</w:t>
      </w:r>
    </w:p>
    <w:p w14:paraId="00000026" w14:textId="77777777" w:rsidR="000C7A5B" w:rsidRDefault="00642E6C" w:rsidP="007109EB">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Pr>
          <w:rFonts w:ascii="Arial" w:hAnsi="Arial"/>
          <w:color w:val="010000"/>
          <w:sz w:val="20"/>
        </w:rPr>
        <w:t>Venue for the announcement of the Prospectus:</w:t>
      </w:r>
    </w:p>
    <w:p w14:paraId="00000027" w14:textId="77777777" w:rsidR="000C7A5B" w:rsidRDefault="00642E6C" w:rsidP="007109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Prospectus of </w:t>
      </w:r>
      <w:proofErr w:type="spellStart"/>
      <w:r>
        <w:rPr>
          <w:rFonts w:ascii="Arial" w:hAnsi="Arial"/>
          <w:color w:val="010000"/>
          <w:sz w:val="20"/>
        </w:rPr>
        <w:t>Agribank</w:t>
      </w:r>
      <w:proofErr w:type="spellEnd"/>
      <w:r>
        <w:rPr>
          <w:rFonts w:ascii="Arial" w:hAnsi="Arial"/>
          <w:color w:val="010000"/>
          <w:sz w:val="20"/>
        </w:rPr>
        <w:t xml:space="preserve"> on the offering of Bonds of </w:t>
      </w:r>
      <w:proofErr w:type="spellStart"/>
      <w:r>
        <w:rPr>
          <w:rFonts w:ascii="Arial" w:hAnsi="Arial"/>
          <w:color w:val="010000"/>
          <w:sz w:val="20"/>
        </w:rPr>
        <w:t>Agribank</w:t>
      </w:r>
      <w:proofErr w:type="spellEnd"/>
      <w:r>
        <w:rPr>
          <w:rFonts w:ascii="Arial" w:hAnsi="Arial"/>
          <w:color w:val="010000"/>
          <w:sz w:val="20"/>
        </w:rPr>
        <w:t xml:space="preserve"> publicly offered in 2024 and mature in 2034 other related documents are posted on </w:t>
      </w:r>
      <w:proofErr w:type="spellStart"/>
      <w:r>
        <w:rPr>
          <w:rFonts w:ascii="Arial" w:hAnsi="Arial"/>
          <w:color w:val="010000"/>
          <w:sz w:val="20"/>
        </w:rPr>
        <w:t>Agribank's</w:t>
      </w:r>
      <w:proofErr w:type="spellEnd"/>
      <w:r>
        <w:rPr>
          <w:rFonts w:ascii="Arial" w:hAnsi="Arial"/>
          <w:color w:val="010000"/>
          <w:sz w:val="20"/>
        </w:rPr>
        <w:t xml:space="preserve"> official website at the link: </w:t>
      </w:r>
      <w:hyperlink r:id="rId8">
        <w:r>
          <w:rPr>
            <w:rFonts w:ascii="Arial" w:hAnsi="Arial"/>
            <w:color w:val="010000"/>
            <w:sz w:val="20"/>
          </w:rPr>
          <w:t>https://www.agribank.com.vn/</w:t>
        </w:r>
      </w:hyperlink>
      <w:r>
        <w:rPr>
          <w:rFonts w:ascii="Arial" w:hAnsi="Arial"/>
          <w:color w:val="010000"/>
          <w:sz w:val="20"/>
        </w:rPr>
        <w:t xml:space="preserve"> </w:t>
      </w:r>
      <w:proofErr w:type="spellStart"/>
      <w:r>
        <w:rPr>
          <w:rFonts w:ascii="Arial" w:hAnsi="Arial"/>
          <w:color w:val="010000"/>
          <w:sz w:val="20"/>
        </w:rPr>
        <w:t>và</w:t>
      </w:r>
      <w:proofErr w:type="spellEnd"/>
      <w:r>
        <w:rPr>
          <w:rFonts w:ascii="Arial" w:hAnsi="Arial"/>
          <w:color w:val="010000"/>
          <w:sz w:val="20"/>
        </w:rPr>
        <w:t xml:space="preserve"> </w:t>
      </w:r>
      <w:proofErr w:type="spellStart"/>
      <w:r>
        <w:rPr>
          <w:rFonts w:ascii="Arial" w:hAnsi="Arial"/>
          <w:color w:val="010000"/>
          <w:sz w:val="20"/>
        </w:rPr>
        <w:t>Agribank</w:t>
      </w:r>
      <w:proofErr w:type="spellEnd"/>
      <w:r>
        <w:rPr>
          <w:rFonts w:ascii="Arial" w:hAnsi="Arial"/>
          <w:color w:val="010000"/>
          <w:sz w:val="20"/>
        </w:rPr>
        <w:t xml:space="preserve"> Securities Corporation at the link: </w:t>
      </w:r>
      <w:hyperlink r:id="rId9">
        <w:r>
          <w:rPr>
            <w:rFonts w:ascii="Arial" w:hAnsi="Arial"/>
            <w:color w:val="010000"/>
            <w:sz w:val="20"/>
          </w:rPr>
          <w:t>https://www.agriseco.com.vn/</w:t>
        </w:r>
      </w:hyperlink>
      <w:r>
        <w:rPr>
          <w:rFonts w:ascii="Arial" w:hAnsi="Arial"/>
          <w:color w:val="010000"/>
          <w:sz w:val="20"/>
        </w:rPr>
        <w:t>.</w:t>
      </w:r>
    </w:p>
    <w:sectPr w:rsidR="000C7A5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2764"/>
    <w:multiLevelType w:val="multilevel"/>
    <w:tmpl w:val="B224B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B87ECA"/>
    <w:multiLevelType w:val="multilevel"/>
    <w:tmpl w:val="9BFA4E6A"/>
    <w:lvl w:ilvl="0">
      <w:start w:val="1"/>
      <w:numFmt w:val="upperRoman"/>
      <w:lvlText w:val="%1."/>
      <w:lvlJc w:val="left"/>
      <w:pPr>
        <w:ind w:left="0" w:firstLine="0"/>
      </w:pPr>
      <w:rPr>
        <w:rFonts w:ascii="Arial" w:eastAsia="Arial" w:hAnsi="Arial" w:cs="Arial"/>
        <w:b w:val="0"/>
        <w:i w:val="0"/>
        <w:smallCaps w:val="0"/>
        <w:strike w:val="0"/>
        <w:color w:val="1F1F1F"/>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9F51A0F"/>
    <w:multiLevelType w:val="multilevel"/>
    <w:tmpl w:val="A906DFE4"/>
    <w:lvl w:ilvl="0">
      <w:start w:val="1"/>
      <w:numFmt w:val="bullet"/>
      <w:lvlText w:val="-"/>
      <w:lvlJc w:val="left"/>
      <w:pPr>
        <w:ind w:left="0" w:firstLine="0"/>
      </w:pPr>
      <w:rPr>
        <w:rFonts w:ascii="Arial" w:eastAsia="Arial" w:hAnsi="Arial" w:cs="Arial"/>
        <w:b w:val="0"/>
        <w:i w:val="0"/>
        <w:smallCaps w:val="0"/>
        <w:strike w:val="0"/>
        <w:color w:val="1F1F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EF915D8"/>
    <w:multiLevelType w:val="multilevel"/>
    <w:tmpl w:val="5B1A6D6A"/>
    <w:lvl w:ilvl="0">
      <w:start w:val="1"/>
      <w:numFmt w:val="decimal"/>
      <w:lvlText w:val="%1."/>
      <w:lvlJc w:val="left"/>
      <w:pPr>
        <w:ind w:left="0" w:firstLine="0"/>
      </w:pPr>
      <w:rPr>
        <w:rFonts w:ascii="Arial" w:eastAsia="Arial" w:hAnsi="Arial" w:cs="Arial"/>
        <w:b w:val="0"/>
        <w:i w:val="0"/>
        <w:smallCaps w:val="0"/>
        <w:strike w:val="0"/>
        <w:color w:val="1F1F1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5B"/>
    <w:rsid w:val="0009266A"/>
    <w:rsid w:val="000C7A5B"/>
    <w:rsid w:val="005A7BC9"/>
    <w:rsid w:val="00642E6C"/>
    <w:rsid w:val="006A5DEF"/>
    <w:rsid w:val="007109EB"/>
    <w:rsid w:val="00E71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8DD0"/>
  <w15:docId w15:val="{E3C59FA5-F371-45E8-B919-8C44599B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F1F1F"/>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E4E4E4"/>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F1F1F"/>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585858"/>
      <w:sz w:val="14"/>
      <w:szCs w:val="1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1F1F1F"/>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585858"/>
      <w:sz w:val="16"/>
      <w:szCs w:val="16"/>
      <w:u w:val="none"/>
      <w:shd w:val="clear" w:color="auto" w:fill="auto"/>
    </w:rPr>
  </w:style>
  <w:style w:type="paragraph" w:customStyle="1" w:styleId="Bodytext30">
    <w:name w:val="Body text (3)"/>
    <w:basedOn w:val="Normal"/>
    <w:link w:val="Bodytext3"/>
    <w:pPr>
      <w:jc w:val="center"/>
    </w:pPr>
    <w:rPr>
      <w:rFonts w:ascii="Arial" w:eastAsia="Arial" w:hAnsi="Arial" w:cs="Arial"/>
    </w:rPr>
  </w:style>
  <w:style w:type="paragraph" w:styleId="BodyText">
    <w:name w:val="Body Text"/>
    <w:basedOn w:val="Normal"/>
    <w:link w:val="BodyTextChar"/>
    <w:qFormat/>
    <w:pPr>
      <w:spacing w:line="341" w:lineRule="auto"/>
    </w:pPr>
    <w:rPr>
      <w:rFonts w:ascii="Times New Roman" w:eastAsia="Times New Roman" w:hAnsi="Times New Roman" w:cs="Times New Roman"/>
      <w:color w:val="1F1F1F"/>
      <w:sz w:val="22"/>
      <w:szCs w:val="22"/>
    </w:rPr>
  </w:style>
  <w:style w:type="paragraph" w:customStyle="1" w:styleId="Bodytext20">
    <w:name w:val="Body text (2)"/>
    <w:basedOn w:val="Normal"/>
    <w:link w:val="Bodytext2"/>
    <w:pPr>
      <w:spacing w:line="254" w:lineRule="auto"/>
    </w:pPr>
    <w:rPr>
      <w:rFonts w:ascii="Arial" w:eastAsia="Arial" w:hAnsi="Arial" w:cs="Arial"/>
      <w:sz w:val="9"/>
      <w:szCs w:val="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color w:val="E4E4E4"/>
      <w:sz w:val="22"/>
      <w:szCs w:val="22"/>
    </w:rPr>
  </w:style>
  <w:style w:type="paragraph" w:customStyle="1" w:styleId="Other0">
    <w:name w:val="Other"/>
    <w:basedOn w:val="Normal"/>
    <w:link w:val="Other"/>
    <w:pPr>
      <w:spacing w:line="341" w:lineRule="auto"/>
    </w:pPr>
    <w:rPr>
      <w:rFonts w:ascii="Times New Roman" w:eastAsia="Times New Roman" w:hAnsi="Times New Roman" w:cs="Times New Roman"/>
      <w:color w:val="1F1F1F"/>
      <w:sz w:val="22"/>
      <w:szCs w:val="22"/>
    </w:rPr>
  </w:style>
  <w:style w:type="paragraph" w:customStyle="1" w:styleId="Bodytext40">
    <w:name w:val="Body text (4)"/>
    <w:basedOn w:val="Normal"/>
    <w:link w:val="Bodytext4"/>
    <w:pPr>
      <w:spacing w:line="360" w:lineRule="auto"/>
    </w:pPr>
    <w:rPr>
      <w:rFonts w:ascii="Arial" w:eastAsia="Arial" w:hAnsi="Arial" w:cs="Arial"/>
      <w:b/>
      <w:bCs/>
      <w:color w:val="585858"/>
      <w:sz w:val="14"/>
      <w:szCs w:val="14"/>
    </w:rPr>
  </w:style>
  <w:style w:type="paragraph" w:customStyle="1" w:styleId="Heading21">
    <w:name w:val="Heading #2"/>
    <w:basedOn w:val="Normal"/>
    <w:link w:val="Heading20"/>
    <w:pPr>
      <w:spacing w:line="341" w:lineRule="auto"/>
      <w:outlineLvl w:val="1"/>
    </w:pPr>
    <w:rPr>
      <w:rFonts w:ascii="Times New Roman" w:eastAsia="Times New Roman" w:hAnsi="Times New Roman" w:cs="Times New Roman"/>
      <w:b/>
      <w:bCs/>
      <w:color w:val="1F1F1F"/>
      <w:sz w:val="22"/>
      <w:szCs w:val="22"/>
    </w:rPr>
  </w:style>
  <w:style w:type="paragraph" w:customStyle="1" w:styleId="Bodytext50">
    <w:name w:val="Body text (5)"/>
    <w:basedOn w:val="Normal"/>
    <w:link w:val="Bodytext5"/>
    <w:rPr>
      <w:rFonts w:ascii="Arial" w:eastAsia="Arial" w:hAnsi="Arial" w:cs="Arial"/>
      <w:color w:val="585858"/>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gribank.com.vn/" TargetMode="External"/><Relationship Id="rId3" Type="http://schemas.openxmlformats.org/officeDocument/2006/relationships/styles" Target="styles.xml"/><Relationship Id="rId7" Type="http://schemas.openxmlformats.org/officeDocument/2006/relationships/hyperlink" Target="https://www.agriseco.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gribank.com.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riseco.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0plio+YxFQl9vBre7s2fW0KHlA==">CgMxLjA4AHIhMUF3N0NEYUhXZF85cGh0VHk1bkpaYXNSbWVFcHE5YUN6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2024-07-05T04:30:00Z</dcterms:created>
  <dcterms:modified xsi:type="dcterms:W3CDTF">2024-07-05T04:30:00Z</dcterms:modified>
</cp:coreProperties>
</file>