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1D00" w:rsidRDefault="00842A4C" w:rsidP="0048295E">
      <w:pPr>
        <w:pBdr>
          <w:top w:val="nil"/>
          <w:left w:val="nil"/>
          <w:bottom w:val="nil"/>
          <w:right w:val="nil"/>
          <w:between w:val="nil"/>
        </w:pBdr>
        <w:tabs>
          <w:tab w:val="left" w:pos="432"/>
          <w:tab w:val="left" w:pos="5119"/>
        </w:tabs>
        <w:spacing w:after="120" w:line="360" w:lineRule="auto"/>
        <w:jc w:val="both"/>
        <w:rPr>
          <w:rFonts w:ascii="Arial" w:eastAsia="Arial" w:hAnsi="Arial" w:cs="Arial"/>
          <w:b/>
          <w:sz w:val="20"/>
          <w:szCs w:val="20"/>
        </w:rPr>
      </w:pPr>
      <w:r>
        <w:rPr>
          <w:rFonts w:ascii="Arial" w:hAnsi="Arial"/>
          <w:b/>
          <w:bCs/>
          <w:sz w:val="20"/>
        </w:rPr>
        <w:t>CTG121030:</w:t>
      </w:r>
      <w:r>
        <w:rPr>
          <w:rFonts w:ascii="Arial" w:hAnsi="Arial"/>
          <w:b/>
          <w:sz w:val="20"/>
        </w:rPr>
        <w:t xml:space="preserve"> Board Resolution</w:t>
      </w:r>
    </w:p>
    <w:p w14:paraId="00000002" w14:textId="77777777" w:rsidR="00781D00" w:rsidRDefault="00842A4C" w:rsidP="0048295E">
      <w:pPr>
        <w:pBdr>
          <w:top w:val="nil"/>
          <w:left w:val="nil"/>
          <w:bottom w:val="nil"/>
          <w:right w:val="nil"/>
          <w:between w:val="nil"/>
        </w:pBdr>
        <w:tabs>
          <w:tab w:val="left" w:pos="432"/>
          <w:tab w:val="left" w:pos="5119"/>
        </w:tabs>
        <w:spacing w:after="120" w:line="360" w:lineRule="auto"/>
        <w:jc w:val="both"/>
        <w:rPr>
          <w:rFonts w:ascii="Arial" w:eastAsia="Arial" w:hAnsi="Arial" w:cs="Arial"/>
          <w:sz w:val="20"/>
          <w:szCs w:val="20"/>
        </w:rPr>
      </w:pPr>
      <w:r>
        <w:rPr>
          <w:rFonts w:ascii="Arial" w:hAnsi="Arial"/>
          <w:sz w:val="20"/>
        </w:rPr>
        <w:t>On July 3, 2024, Vietnam Joint Stock Commercial Bank of Industry and Trade announced Resolution No. 240/NQ-HDQT-NHCT-VPHDQT1 on a</w:t>
      </w:r>
      <w:bookmarkStart w:id="0" w:name="_GoBack"/>
      <w:bookmarkEnd w:id="0"/>
      <w:r>
        <w:rPr>
          <w:rFonts w:ascii="Arial" w:hAnsi="Arial"/>
          <w:sz w:val="20"/>
        </w:rPr>
        <w:t xml:space="preserve">pproving the issuance plan, </w:t>
      </w:r>
      <w:proofErr w:type="spellStart"/>
      <w:r>
        <w:rPr>
          <w:rFonts w:ascii="Arial" w:hAnsi="Arial"/>
          <w:sz w:val="20"/>
        </w:rPr>
        <w:t>VietinBank's</w:t>
      </w:r>
      <w:proofErr w:type="spellEnd"/>
      <w:r>
        <w:rPr>
          <w:rFonts w:ascii="Arial" w:hAnsi="Arial"/>
          <w:sz w:val="20"/>
        </w:rPr>
        <w:t xml:space="preserve"> plan on using and repaying capital collected from public bond issuances in 2024 as follows:</w:t>
      </w:r>
    </w:p>
    <w:p w14:paraId="00000003" w14:textId="77777777" w:rsidR="00781D00" w:rsidRDefault="00842A4C" w:rsidP="0048295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 Approve the issuance plan, plan on using and repaying capital collected from public bond issuances in 2024 of </w:t>
      </w:r>
      <w:proofErr w:type="spellStart"/>
      <w:r>
        <w:rPr>
          <w:rFonts w:ascii="Arial" w:hAnsi="Arial"/>
          <w:sz w:val="20"/>
        </w:rPr>
        <w:t>VietinBank</w:t>
      </w:r>
      <w:proofErr w:type="spellEnd"/>
      <w:r>
        <w:rPr>
          <w:rFonts w:ascii="Arial" w:hAnsi="Arial"/>
          <w:sz w:val="20"/>
        </w:rPr>
        <w:t xml:space="preserve"> according to the detailed content stated in the attached Appendix.</w:t>
      </w:r>
    </w:p>
    <w:p w14:paraId="00000004" w14:textId="77777777" w:rsidR="00781D00" w:rsidRDefault="00842A4C" w:rsidP="0048295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2. Approve </w:t>
      </w:r>
      <w:proofErr w:type="spellStart"/>
      <w:r>
        <w:rPr>
          <w:rFonts w:ascii="Arial" w:hAnsi="Arial"/>
          <w:sz w:val="20"/>
        </w:rPr>
        <w:t>VietinBank's</w:t>
      </w:r>
      <w:proofErr w:type="spellEnd"/>
      <w:r>
        <w:rPr>
          <w:rFonts w:ascii="Arial" w:hAnsi="Arial"/>
          <w:sz w:val="20"/>
        </w:rPr>
        <w:t xml:space="preserve"> commitment to list bonds issued to the public in 2024 after completing the offerings on the Hanoi Stock Exchange (HNX), ensuring compliance with the provisions of law.</w:t>
      </w:r>
    </w:p>
    <w:p w14:paraId="00000005" w14:textId="77777777" w:rsidR="00781D00" w:rsidRDefault="00842A4C" w:rsidP="0048295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3. Implementation</w:t>
      </w:r>
    </w:p>
    <w:p w14:paraId="00000006" w14:textId="77777777" w:rsidR="00781D00" w:rsidRDefault="00842A4C" w:rsidP="0048295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Assign and authorize the General Manager/Deputy General Manager in charge of the Executive Board or the Deputy General Manager in charge of Capital Business &amp; Market Division of </w:t>
      </w:r>
      <w:proofErr w:type="spellStart"/>
      <w:r>
        <w:rPr>
          <w:rFonts w:ascii="Arial" w:hAnsi="Arial"/>
          <w:sz w:val="20"/>
        </w:rPr>
        <w:t>VietinBank</w:t>
      </w:r>
      <w:proofErr w:type="spellEnd"/>
      <w:r>
        <w:rPr>
          <w:rFonts w:ascii="Arial" w:hAnsi="Arial"/>
          <w:sz w:val="20"/>
        </w:rPr>
        <w:t>:</w:t>
      </w:r>
    </w:p>
    <w:p w14:paraId="00000007" w14:textId="77777777"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Carry out the Issuance Plan according to the content approved by the Board of Directors;</w:t>
      </w:r>
    </w:p>
    <w:p w14:paraId="00000008" w14:textId="77777777"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 xml:space="preserve">Carry out and decide on specific contents for: Select, negotiate, sign and carry out contracts/agreements and related documents (including appendixes to amend and supplement contracts/agreements and documents) with units/organization providing services: Consult on bond issuance/bond offering registration documents, consult on listing bond, registration, depository and bond payment agents ensuring compliance with the laws and regulations of </w:t>
      </w:r>
      <w:proofErr w:type="spellStart"/>
      <w:r>
        <w:rPr>
          <w:rFonts w:ascii="Arial" w:hAnsi="Arial"/>
          <w:sz w:val="20"/>
        </w:rPr>
        <w:t>VietinBank</w:t>
      </w:r>
      <w:proofErr w:type="spellEnd"/>
      <w:r>
        <w:rPr>
          <w:rFonts w:ascii="Arial" w:hAnsi="Arial"/>
          <w:sz w:val="20"/>
        </w:rPr>
        <w:t>;</w:t>
      </w:r>
    </w:p>
    <w:p w14:paraId="00000009" w14:textId="77777777"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 xml:space="preserve">Decide on detailed content (including amendments, supplements, and adjustments to detailed content) of the prospectus for public offering/listing of bonds; specific terms and conditions of the bond; repurchase of bonds before maturity; the rights of bond holders and </w:t>
      </w:r>
      <w:proofErr w:type="spellStart"/>
      <w:r>
        <w:rPr>
          <w:rFonts w:ascii="Arial" w:hAnsi="Arial"/>
          <w:sz w:val="20"/>
        </w:rPr>
        <w:t>VietinBank's</w:t>
      </w:r>
      <w:proofErr w:type="spellEnd"/>
      <w:r>
        <w:rPr>
          <w:rFonts w:ascii="Arial" w:hAnsi="Arial"/>
          <w:sz w:val="20"/>
        </w:rPr>
        <w:t xml:space="preserve"> commitments according to relevant laws and in accordance with the approved Issuance Plan;</w:t>
      </w:r>
    </w:p>
    <w:p w14:paraId="0000000A" w14:textId="1CCF8BE4"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 xml:space="preserve">Decide to choose the time to offer, issue, register, and list bonds based on the market situation, capital mobilization needs, and </w:t>
      </w:r>
      <w:proofErr w:type="spellStart"/>
      <w:r>
        <w:rPr>
          <w:rFonts w:ascii="Arial" w:hAnsi="Arial"/>
          <w:sz w:val="20"/>
        </w:rPr>
        <w:t>VietinBank's</w:t>
      </w:r>
      <w:proofErr w:type="spellEnd"/>
      <w:r>
        <w:rPr>
          <w:rFonts w:ascii="Arial" w:hAnsi="Arial"/>
          <w:sz w:val="20"/>
        </w:rPr>
        <w:t xml:space="preserve"> actual capital balance, ensuring compliance with legal regulations.</w:t>
      </w:r>
    </w:p>
    <w:p w14:paraId="0000000B" w14:textId="77777777"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 xml:space="preserve">Decide on amendments, supplements and adjustments to the Issuance Plan at the request of competent State agencies (if any); Decide and sign documents, reports, confirmation documents and other transaction documents to submit/provide/notify/supplement/explain to relevant competent State agencies and/ or according to current legal regulations, specified in the specific terms and conditions of bonds during the process of </w:t>
      </w:r>
      <w:proofErr w:type="spellStart"/>
      <w:r>
        <w:rPr>
          <w:rFonts w:ascii="Arial" w:hAnsi="Arial"/>
          <w:sz w:val="20"/>
        </w:rPr>
        <w:t>VietinBank</w:t>
      </w:r>
      <w:proofErr w:type="spellEnd"/>
      <w:r>
        <w:rPr>
          <w:rFonts w:ascii="Arial" w:hAnsi="Arial"/>
          <w:sz w:val="20"/>
        </w:rPr>
        <w:t xml:space="preserve"> registering to offer, issue, circulate, register and list bonds according to legal regulations;</w:t>
      </w:r>
    </w:p>
    <w:p w14:paraId="0000000C" w14:textId="77777777" w:rsidR="00781D00" w:rsidRDefault="00842A4C" w:rsidP="0048295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Decide and carry out other necessary tasks and procedures to ensure the successful issuance of bonds, and complete the registration and listing of bonds on the stock exchange system in accordance with the legal regulations.</w:t>
      </w:r>
    </w:p>
    <w:p w14:paraId="0000000D" w14:textId="77777777" w:rsidR="00781D00" w:rsidRDefault="00842A4C" w:rsidP="0048295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4: Terms of enforcement</w:t>
      </w:r>
    </w:p>
    <w:p w14:paraId="0000000E" w14:textId="77777777" w:rsidR="00781D00" w:rsidRDefault="00842A4C" w:rsidP="0048295E">
      <w:pPr>
        <w:numPr>
          <w:ilvl w:val="0"/>
          <w:numId w:val="1"/>
        </w:numPr>
        <w:pBdr>
          <w:top w:val="nil"/>
          <w:left w:val="nil"/>
          <w:bottom w:val="nil"/>
          <w:right w:val="nil"/>
          <w:between w:val="nil"/>
        </w:pBdr>
        <w:tabs>
          <w:tab w:val="left" w:pos="432"/>
          <w:tab w:val="left" w:pos="994"/>
        </w:tabs>
        <w:spacing w:after="120" w:line="360" w:lineRule="auto"/>
        <w:jc w:val="both"/>
        <w:rPr>
          <w:rFonts w:ascii="Arial" w:eastAsia="Arial" w:hAnsi="Arial" w:cs="Arial"/>
          <w:sz w:val="20"/>
          <w:szCs w:val="20"/>
        </w:rPr>
      </w:pPr>
      <w:r>
        <w:rPr>
          <w:rFonts w:ascii="Arial" w:hAnsi="Arial"/>
          <w:sz w:val="20"/>
        </w:rPr>
        <w:t>This Resolution takes effect from the date of its signing.</w:t>
      </w:r>
    </w:p>
    <w:p w14:paraId="0000000F" w14:textId="77777777" w:rsidR="00781D00" w:rsidRDefault="00842A4C" w:rsidP="0048295E">
      <w:pPr>
        <w:numPr>
          <w:ilvl w:val="0"/>
          <w:numId w:val="1"/>
        </w:numPr>
        <w:pBdr>
          <w:top w:val="nil"/>
          <w:left w:val="nil"/>
          <w:bottom w:val="nil"/>
          <w:right w:val="nil"/>
          <w:between w:val="nil"/>
        </w:pBdr>
        <w:tabs>
          <w:tab w:val="left" w:pos="432"/>
          <w:tab w:val="left" w:pos="949"/>
        </w:tabs>
        <w:spacing w:after="120" w:line="360" w:lineRule="auto"/>
        <w:jc w:val="both"/>
        <w:rPr>
          <w:rFonts w:ascii="Arial" w:eastAsia="Arial" w:hAnsi="Arial" w:cs="Arial"/>
          <w:sz w:val="20"/>
          <w:szCs w:val="20"/>
        </w:rPr>
      </w:pPr>
      <w:r>
        <w:rPr>
          <w:rFonts w:ascii="Arial" w:hAnsi="Arial"/>
          <w:sz w:val="20"/>
        </w:rPr>
        <w:lastRenderedPageBreak/>
        <w:t>Members of the Board of Directors, Members of the Executive Board, Directors of Operations, Heads of Departments and relevant individuals at Vietnam Joint Stock Commercial Bank of Industry and Trade are responsible for implementing this Resolution./.</w:t>
      </w:r>
    </w:p>
    <w:sectPr w:rsidR="00781D00">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425D"/>
    <w:multiLevelType w:val="multilevel"/>
    <w:tmpl w:val="6A7EE3D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B771538"/>
    <w:multiLevelType w:val="multilevel"/>
    <w:tmpl w:val="6EA401C6"/>
    <w:lvl w:ilvl="0">
      <w:start w:val="1"/>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00"/>
    <w:rsid w:val="0048295E"/>
    <w:rsid w:val="00781D00"/>
    <w:rsid w:val="0084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CC"/>
  <w15:docId w15:val="{676B2117-B819-4DF6-A432-070103A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36" w:lineRule="auto"/>
      <w:ind w:firstLine="400"/>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Times New Roman" w:eastAsia="Times New Roman" w:hAnsi="Times New Roman" w:cs="Times New Roman"/>
      <w:b/>
      <w:bCs/>
      <w:sz w:val="28"/>
      <w:szCs w:val="28"/>
    </w:rPr>
  </w:style>
  <w:style w:type="paragraph" w:customStyle="1" w:styleId="Heading11">
    <w:name w:val="Heading #1"/>
    <w:basedOn w:val="Normal"/>
    <w:link w:val="Heading10"/>
    <w:pPr>
      <w:spacing w:line="338" w:lineRule="auto"/>
      <w:ind w:firstLine="90"/>
      <w:outlineLvl w:val="0"/>
    </w:pPr>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8stHDd+UY1ZFXCUoWHFWurFA==">CgMxLjA4AHIhMUtPZHVYUm54RHJlVVlKbkp1M1ZyeFFWMC1yRlBwNHUz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2024-07-08T03:37:00Z</dcterms:created>
  <dcterms:modified xsi:type="dcterms:W3CDTF">2024-07-09T03:34:00Z</dcterms:modified>
</cp:coreProperties>
</file>