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742FA" w:rsidRPr="003F6A83" w:rsidRDefault="00C551D9" w:rsidP="00BE058B">
      <w:pPr>
        <w:keepNext/>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bookmarkStart w:id="0" w:name="_GoBack"/>
      <w:r w:rsidRPr="003F6A83">
        <w:rPr>
          <w:rFonts w:ascii="Arial" w:hAnsi="Arial" w:cs="Arial"/>
          <w:b/>
          <w:color w:val="010000"/>
          <w:sz w:val="20"/>
        </w:rPr>
        <w:t>DNE: Board Resolution</w:t>
      </w:r>
    </w:p>
    <w:p w14:paraId="00000002" w14:textId="64D070AD" w:rsidR="000742FA" w:rsidRPr="003F6A83" w:rsidRDefault="00C551D9" w:rsidP="00BE058B">
      <w:pPr>
        <w:keepNext/>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F6A83">
        <w:rPr>
          <w:rFonts w:ascii="Arial" w:hAnsi="Arial" w:cs="Arial"/>
          <w:color w:val="010000"/>
          <w:sz w:val="20"/>
        </w:rPr>
        <w:t xml:space="preserve">On July </w:t>
      </w:r>
      <w:r w:rsidR="003F6A83" w:rsidRPr="003F6A83">
        <w:rPr>
          <w:rFonts w:ascii="Arial" w:hAnsi="Arial" w:cs="Arial"/>
          <w:color w:val="010000"/>
          <w:sz w:val="20"/>
        </w:rPr>
        <w:t>0</w:t>
      </w:r>
      <w:r w:rsidRPr="003F6A83">
        <w:rPr>
          <w:rFonts w:ascii="Arial" w:hAnsi="Arial" w:cs="Arial"/>
          <w:color w:val="010000"/>
          <w:sz w:val="20"/>
        </w:rPr>
        <w:t xml:space="preserve">5, 2024, Da Nang Urban Environment Joint Stock Company announced Resolution </w:t>
      </w:r>
      <w:r w:rsidR="00BE058B" w:rsidRPr="003F6A83">
        <w:rPr>
          <w:rFonts w:ascii="Arial" w:hAnsi="Arial" w:cs="Arial"/>
          <w:color w:val="010000"/>
          <w:sz w:val="20"/>
        </w:rPr>
        <w:t xml:space="preserve">No. </w:t>
      </w:r>
      <w:r w:rsidRPr="003F6A83">
        <w:rPr>
          <w:rFonts w:ascii="Arial" w:hAnsi="Arial" w:cs="Arial"/>
          <w:color w:val="010000"/>
          <w:sz w:val="20"/>
        </w:rPr>
        <w:t>10/NQ-HDQT on the dividend payment 2023 as follows:</w:t>
      </w:r>
    </w:p>
    <w:p w14:paraId="00000003" w14:textId="77777777" w:rsidR="000742FA" w:rsidRPr="003F6A83" w:rsidRDefault="00C551D9" w:rsidP="00BE05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F6A83">
        <w:rPr>
          <w:rFonts w:ascii="Arial" w:hAnsi="Arial" w:cs="Arial"/>
          <w:color w:val="010000"/>
          <w:sz w:val="20"/>
        </w:rPr>
        <w:t>‎‎Article 1. Approve the dividend payment in 2023 of Da Nang Urban Environment Joint Stock Company as follows:</w:t>
      </w:r>
    </w:p>
    <w:p w14:paraId="00000004" w14:textId="77777777" w:rsidR="000742FA" w:rsidRPr="003F6A83" w:rsidRDefault="00C551D9" w:rsidP="00BE058B">
      <w:pPr>
        <w:numPr>
          <w:ilvl w:val="0"/>
          <w:numId w:val="1"/>
        </w:numPr>
        <w:pBdr>
          <w:top w:val="nil"/>
          <w:left w:val="nil"/>
          <w:bottom w:val="nil"/>
          <w:right w:val="nil"/>
          <w:between w:val="nil"/>
        </w:pBdr>
        <w:tabs>
          <w:tab w:val="left" w:pos="432"/>
          <w:tab w:val="left" w:pos="792"/>
        </w:tabs>
        <w:spacing w:after="120" w:line="360" w:lineRule="auto"/>
        <w:rPr>
          <w:rFonts w:ascii="Arial" w:eastAsia="Arial" w:hAnsi="Arial" w:cs="Arial"/>
          <w:color w:val="010000"/>
          <w:sz w:val="20"/>
          <w:szCs w:val="20"/>
        </w:rPr>
      </w:pPr>
      <w:r w:rsidRPr="003F6A83">
        <w:rPr>
          <w:rFonts w:ascii="Arial" w:hAnsi="Arial" w:cs="Arial"/>
          <w:color w:val="010000"/>
          <w:sz w:val="20"/>
        </w:rPr>
        <w:t>Share name: Shares of Da Nang Urban Environment Joint Stock Company</w:t>
      </w:r>
    </w:p>
    <w:p w14:paraId="00000005" w14:textId="77777777" w:rsidR="000742FA" w:rsidRPr="003F6A83" w:rsidRDefault="00C551D9" w:rsidP="00BE058B">
      <w:pPr>
        <w:numPr>
          <w:ilvl w:val="0"/>
          <w:numId w:val="1"/>
        </w:numPr>
        <w:pBdr>
          <w:top w:val="nil"/>
          <w:left w:val="nil"/>
          <w:bottom w:val="nil"/>
          <w:right w:val="nil"/>
          <w:between w:val="nil"/>
        </w:pBdr>
        <w:tabs>
          <w:tab w:val="left" w:pos="432"/>
          <w:tab w:val="left" w:pos="792"/>
        </w:tabs>
        <w:spacing w:after="120" w:line="360" w:lineRule="auto"/>
        <w:rPr>
          <w:rFonts w:ascii="Arial" w:eastAsia="Arial" w:hAnsi="Arial" w:cs="Arial"/>
          <w:color w:val="010000"/>
          <w:sz w:val="20"/>
          <w:szCs w:val="20"/>
        </w:rPr>
      </w:pPr>
      <w:r w:rsidRPr="003F6A83">
        <w:rPr>
          <w:rFonts w:ascii="Arial" w:hAnsi="Arial" w:cs="Arial"/>
          <w:color w:val="010000"/>
          <w:sz w:val="20"/>
        </w:rPr>
        <w:t>Share code: DNE</w:t>
      </w:r>
    </w:p>
    <w:p w14:paraId="00000006" w14:textId="5951520D" w:rsidR="000742FA" w:rsidRPr="003F6A83" w:rsidRDefault="00C551D9" w:rsidP="00BE058B">
      <w:pPr>
        <w:numPr>
          <w:ilvl w:val="0"/>
          <w:numId w:val="1"/>
        </w:numPr>
        <w:pBdr>
          <w:top w:val="nil"/>
          <w:left w:val="nil"/>
          <w:bottom w:val="nil"/>
          <w:right w:val="nil"/>
          <w:between w:val="nil"/>
        </w:pBdr>
        <w:tabs>
          <w:tab w:val="left" w:pos="432"/>
          <w:tab w:val="left" w:pos="792"/>
        </w:tabs>
        <w:spacing w:after="120" w:line="360" w:lineRule="auto"/>
        <w:rPr>
          <w:rFonts w:ascii="Arial" w:eastAsia="Arial" w:hAnsi="Arial" w:cs="Arial"/>
          <w:color w:val="010000"/>
          <w:sz w:val="20"/>
          <w:szCs w:val="20"/>
        </w:rPr>
      </w:pPr>
      <w:r w:rsidRPr="003F6A83">
        <w:rPr>
          <w:rFonts w:ascii="Arial" w:hAnsi="Arial" w:cs="Arial"/>
          <w:color w:val="010000"/>
          <w:sz w:val="20"/>
        </w:rPr>
        <w:t xml:space="preserve">Share type: </w:t>
      </w:r>
      <w:r w:rsidR="003F6A83" w:rsidRPr="003F6A83">
        <w:rPr>
          <w:rFonts w:ascii="Arial" w:hAnsi="Arial" w:cs="Arial"/>
          <w:color w:val="010000"/>
          <w:sz w:val="20"/>
        </w:rPr>
        <w:t xml:space="preserve">Common </w:t>
      </w:r>
      <w:r w:rsidRPr="003F6A83">
        <w:rPr>
          <w:rFonts w:ascii="Arial" w:hAnsi="Arial" w:cs="Arial"/>
          <w:color w:val="010000"/>
          <w:sz w:val="20"/>
        </w:rPr>
        <w:t>shares</w:t>
      </w:r>
    </w:p>
    <w:p w14:paraId="00000007" w14:textId="77777777" w:rsidR="000742FA" w:rsidRPr="003F6A83" w:rsidRDefault="00C551D9" w:rsidP="00BE058B">
      <w:pPr>
        <w:numPr>
          <w:ilvl w:val="0"/>
          <w:numId w:val="1"/>
        </w:numPr>
        <w:pBdr>
          <w:top w:val="nil"/>
          <w:left w:val="nil"/>
          <w:bottom w:val="nil"/>
          <w:right w:val="nil"/>
          <w:between w:val="nil"/>
        </w:pBdr>
        <w:tabs>
          <w:tab w:val="left" w:pos="432"/>
          <w:tab w:val="left" w:pos="796"/>
        </w:tabs>
        <w:spacing w:after="120" w:line="360" w:lineRule="auto"/>
        <w:rPr>
          <w:rFonts w:ascii="Arial" w:eastAsia="Arial" w:hAnsi="Arial" w:cs="Arial"/>
          <w:color w:val="010000"/>
          <w:sz w:val="20"/>
          <w:szCs w:val="20"/>
        </w:rPr>
      </w:pPr>
      <w:r w:rsidRPr="003F6A83">
        <w:rPr>
          <w:rFonts w:ascii="Arial" w:hAnsi="Arial" w:cs="Arial"/>
          <w:color w:val="010000"/>
          <w:sz w:val="20"/>
        </w:rPr>
        <w:t>Par value: VND10,000/share;</w:t>
      </w:r>
    </w:p>
    <w:p w14:paraId="00000008" w14:textId="77777777" w:rsidR="000742FA" w:rsidRPr="003F6A83" w:rsidRDefault="00C551D9" w:rsidP="00BE058B">
      <w:pPr>
        <w:numPr>
          <w:ilvl w:val="0"/>
          <w:numId w:val="1"/>
        </w:numPr>
        <w:pBdr>
          <w:top w:val="nil"/>
          <w:left w:val="nil"/>
          <w:bottom w:val="nil"/>
          <w:right w:val="nil"/>
          <w:between w:val="nil"/>
        </w:pBdr>
        <w:tabs>
          <w:tab w:val="left" w:pos="432"/>
          <w:tab w:val="left" w:pos="796"/>
        </w:tabs>
        <w:spacing w:after="120" w:line="360" w:lineRule="auto"/>
        <w:rPr>
          <w:rFonts w:ascii="Arial" w:eastAsia="Arial" w:hAnsi="Arial" w:cs="Arial"/>
          <w:color w:val="010000"/>
          <w:sz w:val="20"/>
          <w:szCs w:val="20"/>
        </w:rPr>
      </w:pPr>
      <w:r w:rsidRPr="003F6A83">
        <w:rPr>
          <w:rFonts w:ascii="Arial" w:hAnsi="Arial" w:cs="Arial"/>
          <w:color w:val="010000"/>
          <w:sz w:val="20"/>
        </w:rPr>
        <w:t>Payment method: In cash or bank transfer;</w:t>
      </w:r>
    </w:p>
    <w:p w14:paraId="00000009" w14:textId="77777777" w:rsidR="000742FA" w:rsidRPr="003F6A83" w:rsidRDefault="00C551D9" w:rsidP="00BE058B">
      <w:pPr>
        <w:numPr>
          <w:ilvl w:val="0"/>
          <w:numId w:val="1"/>
        </w:numPr>
        <w:pBdr>
          <w:top w:val="nil"/>
          <w:left w:val="nil"/>
          <w:bottom w:val="nil"/>
          <w:right w:val="nil"/>
          <w:between w:val="nil"/>
        </w:pBdr>
        <w:tabs>
          <w:tab w:val="left" w:pos="432"/>
          <w:tab w:val="left" w:pos="834"/>
        </w:tabs>
        <w:spacing w:after="120" w:line="360" w:lineRule="auto"/>
        <w:rPr>
          <w:rFonts w:ascii="Arial" w:eastAsia="Arial" w:hAnsi="Arial" w:cs="Arial"/>
          <w:color w:val="010000"/>
          <w:sz w:val="20"/>
          <w:szCs w:val="20"/>
        </w:rPr>
      </w:pPr>
      <w:r w:rsidRPr="003F6A83">
        <w:rPr>
          <w:rFonts w:ascii="Arial" w:hAnsi="Arial" w:cs="Arial"/>
          <w:color w:val="010000"/>
          <w:sz w:val="20"/>
        </w:rPr>
        <w:t>Payment rate: 5.0% per share (shareholders receive VND500 for every share they own);</w:t>
      </w:r>
    </w:p>
    <w:p w14:paraId="0000000A" w14:textId="77777777" w:rsidR="000742FA" w:rsidRPr="003F6A83" w:rsidRDefault="00C551D9" w:rsidP="00BE058B">
      <w:pPr>
        <w:numPr>
          <w:ilvl w:val="0"/>
          <w:numId w:val="1"/>
        </w:numPr>
        <w:pBdr>
          <w:top w:val="nil"/>
          <w:left w:val="nil"/>
          <w:bottom w:val="nil"/>
          <w:right w:val="nil"/>
          <w:between w:val="nil"/>
        </w:pBdr>
        <w:tabs>
          <w:tab w:val="left" w:pos="432"/>
          <w:tab w:val="left" w:pos="796"/>
        </w:tabs>
        <w:spacing w:after="120" w:line="360" w:lineRule="auto"/>
        <w:rPr>
          <w:rFonts w:ascii="Arial" w:eastAsia="Arial" w:hAnsi="Arial" w:cs="Arial"/>
          <w:color w:val="010000"/>
          <w:sz w:val="20"/>
          <w:szCs w:val="20"/>
        </w:rPr>
      </w:pPr>
      <w:r w:rsidRPr="003F6A83">
        <w:rPr>
          <w:rFonts w:ascii="Arial" w:hAnsi="Arial" w:cs="Arial"/>
          <w:color w:val="010000"/>
          <w:sz w:val="20"/>
        </w:rPr>
        <w:t>Record date for the list of shareholders to receive dividends: July 31, 2024;</w:t>
      </w:r>
    </w:p>
    <w:p w14:paraId="0000000B" w14:textId="77777777" w:rsidR="000742FA" w:rsidRPr="003F6A83" w:rsidRDefault="00C551D9" w:rsidP="00BE058B">
      <w:pPr>
        <w:numPr>
          <w:ilvl w:val="0"/>
          <w:numId w:val="1"/>
        </w:numPr>
        <w:pBdr>
          <w:top w:val="nil"/>
          <w:left w:val="nil"/>
          <w:bottom w:val="nil"/>
          <w:right w:val="nil"/>
          <w:between w:val="nil"/>
        </w:pBdr>
        <w:tabs>
          <w:tab w:val="left" w:pos="432"/>
          <w:tab w:val="left" w:pos="796"/>
        </w:tabs>
        <w:spacing w:after="120" w:line="360" w:lineRule="auto"/>
        <w:rPr>
          <w:rFonts w:ascii="Arial" w:eastAsia="Arial" w:hAnsi="Arial" w:cs="Arial"/>
          <w:color w:val="010000"/>
          <w:sz w:val="20"/>
          <w:szCs w:val="20"/>
        </w:rPr>
      </w:pPr>
      <w:r w:rsidRPr="003F6A83">
        <w:rPr>
          <w:rFonts w:ascii="Arial" w:hAnsi="Arial" w:cs="Arial"/>
          <w:color w:val="010000"/>
          <w:sz w:val="20"/>
        </w:rPr>
        <w:t>Time: From August 28, 2024.</w:t>
      </w:r>
    </w:p>
    <w:p w14:paraId="0000000C" w14:textId="77777777" w:rsidR="000742FA" w:rsidRPr="003F6A83" w:rsidRDefault="00C551D9" w:rsidP="00BE05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F6A83">
        <w:rPr>
          <w:rFonts w:ascii="Arial" w:hAnsi="Arial" w:cs="Arial"/>
          <w:color w:val="010000"/>
          <w:sz w:val="20"/>
        </w:rPr>
        <w:t>‎‎Article 2. Assign the General Manager of Da Nang Urban Environment Joint Stock Company, based on the announced Resolution to organize and implement procedures related to dividend payment to shareholders and information disclosure in accordance with the provisions of law and the Company’s Charter.</w:t>
      </w:r>
    </w:p>
    <w:p w14:paraId="0000000D" w14:textId="77777777" w:rsidR="000742FA" w:rsidRPr="003F6A83" w:rsidRDefault="00C551D9" w:rsidP="00BE05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F6A83">
        <w:rPr>
          <w:rFonts w:ascii="Arial" w:hAnsi="Arial" w:cs="Arial"/>
          <w:color w:val="010000"/>
          <w:sz w:val="20"/>
        </w:rPr>
        <w:t>‎‎Article 3. This Resolution takes effect from the date of its signing.</w:t>
      </w:r>
    </w:p>
    <w:p w14:paraId="0000000E" w14:textId="77777777" w:rsidR="000742FA" w:rsidRPr="003F6A83" w:rsidRDefault="00C551D9" w:rsidP="00BE05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F6A83">
        <w:rPr>
          <w:rFonts w:ascii="Arial" w:hAnsi="Arial" w:cs="Arial"/>
          <w:color w:val="010000"/>
          <w:sz w:val="20"/>
        </w:rPr>
        <w:t>‎‎Article 4. Members of the Board of Directors; the Supervisory Board; the Board of Management; the Heads of departments and units under the Company and the Heads of relevant units are responsible for implementing this Resolution./.</w:t>
      </w:r>
      <w:bookmarkEnd w:id="0"/>
    </w:p>
    <w:sectPr w:rsidR="000742FA" w:rsidRPr="003F6A83" w:rsidSect="00BE058B">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ptos Display">
    <w:panose1 w:val="00000000000000000000"/>
    <w:charset w:val="00"/>
    <w:family w:val="roman"/>
    <w:notTrueType/>
    <w:pitch w:val="default"/>
  </w:font>
  <w:font w:name="Apto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820C07"/>
    <w:multiLevelType w:val="multilevel"/>
    <w:tmpl w:val="1EA2881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2FA"/>
    <w:rsid w:val="000742FA"/>
    <w:rsid w:val="003F6A83"/>
    <w:rsid w:val="00BE058B"/>
    <w:rsid w:val="00C55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FFC90A"/>
  <w15:docId w15:val="{D05F0E65-1D08-47CE-B0EF-AEE1D939A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6"/>
      <w:szCs w:val="26"/>
      <w:u w:val="none"/>
      <w:shd w:val="clear" w:color="auto" w:fill="auto"/>
    </w:rPr>
  </w:style>
  <w:style w:type="paragraph" w:customStyle="1" w:styleId="Vnbnnidung20">
    <w:name w:val="Văn bản nội dung (2)"/>
    <w:basedOn w:val="Normal"/>
    <w:link w:val="Vnbnnidung2"/>
    <w:pPr>
      <w:spacing w:line="230" w:lineRule="auto"/>
    </w:pPr>
    <w:rPr>
      <w:rFonts w:ascii="Times New Roman" w:eastAsia="Times New Roman" w:hAnsi="Times New Roman" w:cs="Times New Roman"/>
      <w:sz w:val="22"/>
      <w:szCs w:val="22"/>
    </w:rPr>
  </w:style>
  <w:style w:type="paragraph" w:customStyle="1" w:styleId="Vnbnnidung0">
    <w:name w:val="Văn bản nội dung"/>
    <w:basedOn w:val="Normal"/>
    <w:link w:val="Vnbnnidung"/>
    <w:pPr>
      <w:ind w:firstLine="400"/>
    </w:pPr>
    <w:rPr>
      <w:rFonts w:ascii="Times New Roman" w:eastAsia="Times New Roman" w:hAnsi="Times New Roman" w:cs="Times New Roman"/>
      <w:sz w:val="28"/>
      <w:szCs w:val="28"/>
    </w:rPr>
  </w:style>
  <w:style w:type="paragraph" w:customStyle="1" w:styleId="Tiu10">
    <w:name w:val="Tiêu đề #1"/>
    <w:basedOn w:val="Normal"/>
    <w:link w:val="Tiu1"/>
    <w:pPr>
      <w:spacing w:line="262" w:lineRule="auto"/>
      <w:ind w:firstLine="380"/>
      <w:jc w:val="center"/>
      <w:outlineLvl w:val="0"/>
    </w:pPr>
    <w:rPr>
      <w:rFonts w:ascii="Times New Roman" w:eastAsia="Times New Roman" w:hAnsi="Times New Roman" w:cs="Times New Roman"/>
      <w:b/>
      <w:bCs/>
      <w:sz w:val="26"/>
      <w:szCs w:val="2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2efoP918cMgZS3Ei9eL99Pov1w==">CgMxLjA4AHIhMUlMYy1FUXF0S2toUDdOZDZQa0NFZWJ5WndOQl9hTUhw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199</Words>
  <Characters>1051</Characters>
  <Application>Microsoft Office Word</Application>
  <DocSecurity>0</DocSecurity>
  <Lines>21</Lines>
  <Paragraphs>16</Paragraphs>
  <ScaleCrop>false</ScaleCrop>
  <Company>Microsoft</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Sao Khue</cp:lastModifiedBy>
  <cp:revision>4</cp:revision>
  <dcterms:created xsi:type="dcterms:W3CDTF">2024-07-08T03:44:00Z</dcterms:created>
  <dcterms:modified xsi:type="dcterms:W3CDTF">2024-07-08T09:19:00Z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5dddb17f2cb4f69da0ad7c879a1a2909510b6ae2dcdc73ff0d9b6e3a3da10040</vt:lpwstr>
  </property>
</Properties>
</file>