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37A4" w:rsidRPr="00213B40" w:rsidRDefault="008F5703" w:rsidP="00213B4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13B40">
        <w:rPr>
          <w:rFonts w:ascii="Arial" w:hAnsi="Arial" w:cs="Arial"/>
          <w:b/>
          <w:color w:val="010000"/>
          <w:sz w:val="20"/>
        </w:rPr>
        <w:t>NED: Board Resolution</w:t>
      </w:r>
    </w:p>
    <w:p w14:paraId="00000002" w14:textId="713F81F8" w:rsidR="003E37A4" w:rsidRPr="00213B40" w:rsidRDefault="008F5703" w:rsidP="00213B4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 xml:space="preserve">On July 05, 2024, North - West Electric Investment and Development Joint Stock Company announced Resolution </w:t>
      </w:r>
      <w:r w:rsidR="00550398" w:rsidRPr="00213B40">
        <w:rPr>
          <w:rFonts w:ascii="Arial" w:hAnsi="Arial" w:cs="Arial"/>
          <w:color w:val="010000"/>
          <w:sz w:val="20"/>
        </w:rPr>
        <w:t xml:space="preserve">No. </w:t>
      </w:r>
      <w:r w:rsidRPr="00213B40">
        <w:rPr>
          <w:rFonts w:ascii="Arial" w:hAnsi="Arial" w:cs="Arial"/>
          <w:color w:val="010000"/>
          <w:sz w:val="20"/>
        </w:rPr>
        <w:t>10/NQ-HDQT on the divestment of all investment capital in SHP Ninh Binh Joint Stock Company and Truong Dai Loc Investment Joint Stock Company as follows:</w:t>
      </w:r>
    </w:p>
    <w:p w14:paraId="00000003" w14:textId="77777777" w:rsidR="003E37A4" w:rsidRPr="00213B40" w:rsidRDefault="008F5703" w:rsidP="00213B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‎‎Article 1. Approve the divestment of all investment capital in SHP Ninh Binh Joint Stock Company as follows:</w:t>
      </w:r>
    </w:p>
    <w:p w14:paraId="00000004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Name of transferred shares: Shares of SHP Ninh Binh Joint Stock Company;</w:t>
      </w:r>
    </w:p>
    <w:p w14:paraId="00000005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Share type: Common shares;</w:t>
      </w:r>
    </w:p>
    <w:p w14:paraId="00000006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Par value of share: VND10,000/share;</w:t>
      </w:r>
    </w:p>
    <w:p w14:paraId="00000007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Number of transferred shares: 5,395,000 shares;</w:t>
      </w:r>
    </w:p>
    <w:p w14:paraId="00000008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Transferee of shares: Organizations or individuals with demands;</w:t>
      </w:r>
    </w:p>
    <w:p w14:paraId="00000009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Transfer value: Not lower than the investment value;</w:t>
      </w:r>
    </w:p>
    <w:p w14:paraId="0000000A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Transfer purpose: To restructure investment;</w:t>
      </w:r>
    </w:p>
    <w:p w14:paraId="0000000B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Implementation time: Q3, Q4/2024.</w:t>
      </w:r>
    </w:p>
    <w:p w14:paraId="0000000C" w14:textId="77777777" w:rsidR="003E37A4" w:rsidRPr="00213B40" w:rsidRDefault="008F5703" w:rsidP="00213B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‎‎Article 2. Approve the divestment of all investment capital in Truong Dai Loc Investment Joint Stock Company as follows:</w:t>
      </w:r>
    </w:p>
    <w:p w14:paraId="0000000D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2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Name of transferred shares: Shares of Truong Dai Loc Investment Joint Stock Company;</w:t>
      </w:r>
    </w:p>
    <w:p w14:paraId="0000000E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Share type: Common shares;</w:t>
      </w:r>
    </w:p>
    <w:p w14:paraId="0000000F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Par value of share: VND10,000/share;</w:t>
      </w:r>
    </w:p>
    <w:p w14:paraId="00000010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Number of transferred shares: 3,690,000 shares;</w:t>
      </w:r>
    </w:p>
    <w:p w14:paraId="00000011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Transferee of shares: Organizations or individuals with demands;</w:t>
      </w:r>
    </w:p>
    <w:p w14:paraId="00000012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Transfer value: Not lower than the investment value;</w:t>
      </w:r>
    </w:p>
    <w:p w14:paraId="00000013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Transfer purpose: To restructure investment;</w:t>
      </w:r>
    </w:p>
    <w:p w14:paraId="00000014" w14:textId="77777777" w:rsidR="003E37A4" w:rsidRPr="00213B40" w:rsidRDefault="008F5703" w:rsidP="00213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3E37A4" w:rsidRPr="00213B40" w:rsidSect="00550398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213B40">
        <w:rPr>
          <w:rFonts w:ascii="Arial" w:hAnsi="Arial" w:cs="Arial"/>
          <w:color w:val="010000"/>
          <w:sz w:val="20"/>
        </w:rPr>
        <w:t>Implementation time: Q3, Q4/2024.</w:t>
      </w:r>
    </w:p>
    <w:p w14:paraId="00000015" w14:textId="2925F691" w:rsidR="003E37A4" w:rsidRPr="00213B40" w:rsidRDefault="008F5703" w:rsidP="00213B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lastRenderedPageBreak/>
        <w:t xml:space="preserve">Article 3. Assign the General Manager of the Company to seek partners, negotiate and sign </w:t>
      </w:r>
      <w:r w:rsidRPr="00213B40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213B40">
        <w:rPr>
          <w:rFonts w:ascii="Arial" w:hAnsi="Arial" w:cs="Arial"/>
          <w:color w:val="010000"/>
          <w:sz w:val="20"/>
        </w:rPr>
        <w:t xml:space="preserve">share transfer contracts and relevant papers pursuant to the above approved contents in accordance with the provisions of law, and ensuring the Comany’s </w:t>
      </w:r>
      <w:r w:rsidRPr="00213B40">
        <w:rPr>
          <w:rFonts w:ascii="Arial" w:hAnsi="Arial" w:cs="Arial"/>
          <w:color w:val="010000"/>
          <w:sz w:val="20"/>
          <w:lang w:val="vi-VN"/>
        </w:rPr>
        <w:t>benefits</w:t>
      </w:r>
      <w:r w:rsidRPr="00213B40">
        <w:rPr>
          <w:rFonts w:ascii="Arial" w:hAnsi="Arial" w:cs="Arial"/>
          <w:color w:val="010000"/>
          <w:sz w:val="20"/>
        </w:rPr>
        <w:t>.</w:t>
      </w:r>
    </w:p>
    <w:p w14:paraId="00000016" w14:textId="77777777" w:rsidR="003E37A4" w:rsidRPr="00213B40" w:rsidRDefault="008F5703" w:rsidP="00213B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00000017" w14:textId="3DB15446" w:rsidR="003E37A4" w:rsidRPr="00213B40" w:rsidRDefault="008F5703" w:rsidP="00213B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3B40">
        <w:rPr>
          <w:rFonts w:ascii="Arial" w:hAnsi="Arial" w:cs="Arial"/>
          <w:color w:val="010000"/>
          <w:sz w:val="20"/>
        </w:rPr>
        <w:t>Members of the Board of Directors, the General Manager, the Supervisory Board, the Chief Accountant,</w:t>
      </w:r>
      <w:r w:rsidRPr="00213B40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213B40">
        <w:rPr>
          <w:rFonts w:ascii="Arial" w:hAnsi="Arial" w:cs="Arial"/>
          <w:color w:val="010000"/>
          <w:sz w:val="20"/>
        </w:rPr>
        <w:t xml:space="preserve"> Heads of specialized Departments and affiliated individuals are responsible for the implementation of this Resolution./.</w:t>
      </w:r>
    </w:p>
    <w:sectPr w:rsidR="003E37A4" w:rsidRPr="00213B40" w:rsidSect="00550398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E2431"/>
    <w:multiLevelType w:val="multilevel"/>
    <w:tmpl w:val="28689D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4"/>
    <w:rsid w:val="00213B40"/>
    <w:rsid w:val="002641F6"/>
    <w:rsid w:val="003E37A4"/>
    <w:rsid w:val="00550398"/>
    <w:rsid w:val="008F5703"/>
    <w:rsid w:val="00C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7AF5C"/>
  <w15:docId w15:val="{229611CD-DB51-4DA5-B41D-3949E0B0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spacing w:line="312" w:lineRule="auto"/>
      <w:ind w:left="3500" w:firstLine="2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79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4ODR6Ydmv6iDDCcukjalUU7xA==">CgMxLjA4AHIhMS1OWW5lU3Z2ZWlvbmdTTjk0RldscXpjdFdTTENUR0t3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2024-07-09T03:27:00Z</dcterms:created>
  <dcterms:modified xsi:type="dcterms:W3CDTF">2024-07-09T03:27:00Z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97125d4a4201b727d06c50a507cf8d4f9680a0e7e9cf1a0c92170f032e99d09e</vt:lpwstr>
  </property>
</Properties>
</file>