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CF75"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TGP: Annual General Mandate</w:t>
      </w:r>
    </w:p>
    <w:p w14:paraId="430579C5"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On June 29, 2024, Truong </w:t>
      </w:r>
      <w:proofErr w:type="spellStart"/>
      <w:r>
        <w:rPr>
          <w:rFonts w:ascii="Arial" w:hAnsi="Arial"/>
          <w:sz w:val="20"/>
        </w:rPr>
        <w:t>Phu</w:t>
      </w:r>
      <w:proofErr w:type="spellEnd"/>
      <w:r>
        <w:rPr>
          <w:rFonts w:ascii="Arial" w:hAnsi="Arial"/>
          <w:sz w:val="20"/>
        </w:rPr>
        <w:t xml:space="preserve"> JSC announced General Mandate No. 01/NQ/DHDCD/24, as follows:</w:t>
      </w:r>
    </w:p>
    <w:p w14:paraId="441D523C"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Article 1 Approve the following contents:</w:t>
      </w:r>
    </w:p>
    <w:p w14:paraId="33E88F34" w14:textId="77777777" w:rsidR="00287C37" w:rsidRDefault="001F1A93" w:rsidP="001121AB">
      <w:pPr>
        <w:numPr>
          <w:ilvl w:val="0"/>
          <w:numId w:val="3"/>
        </w:numPr>
        <w:pBdr>
          <w:top w:val="nil"/>
          <w:left w:val="nil"/>
          <w:bottom w:val="nil"/>
          <w:right w:val="nil"/>
          <w:between w:val="nil"/>
        </w:pBdr>
        <w:tabs>
          <w:tab w:val="left" w:pos="432"/>
          <w:tab w:val="left" w:pos="2064"/>
        </w:tabs>
        <w:spacing w:after="120" w:line="360" w:lineRule="auto"/>
        <w:jc w:val="both"/>
        <w:rPr>
          <w:rFonts w:ascii="Arial" w:eastAsia="Arial" w:hAnsi="Arial" w:cs="Arial"/>
          <w:sz w:val="20"/>
          <w:szCs w:val="20"/>
        </w:rPr>
      </w:pPr>
      <w:r>
        <w:rPr>
          <w:rFonts w:ascii="Arial" w:hAnsi="Arial"/>
          <w:sz w:val="20"/>
        </w:rPr>
        <w:t>Approve the Financial Statements 2</w:t>
      </w:r>
      <w:bookmarkStart w:id="0" w:name="_GoBack"/>
      <w:bookmarkEnd w:id="0"/>
      <w:r>
        <w:rPr>
          <w:rFonts w:ascii="Arial" w:hAnsi="Arial"/>
          <w:sz w:val="20"/>
        </w:rPr>
        <w:t>023, and the production and business results in 2023:</w:t>
      </w:r>
    </w:p>
    <w:p w14:paraId="7BCA9BB3" w14:textId="77777777" w:rsidR="00287C37" w:rsidRDefault="001F1A93" w:rsidP="001121AB">
      <w:pPr>
        <w:numPr>
          <w:ilvl w:val="0"/>
          <w:numId w:val="2"/>
        </w:numPr>
        <w:pBdr>
          <w:top w:val="nil"/>
          <w:left w:val="nil"/>
          <w:bottom w:val="nil"/>
          <w:right w:val="nil"/>
          <w:between w:val="nil"/>
        </w:pBdr>
        <w:tabs>
          <w:tab w:val="left" w:pos="432"/>
          <w:tab w:val="left" w:pos="1984"/>
        </w:tabs>
        <w:spacing w:after="120" w:line="360" w:lineRule="auto"/>
        <w:jc w:val="both"/>
        <w:rPr>
          <w:rFonts w:ascii="Arial" w:eastAsia="Arial" w:hAnsi="Arial" w:cs="Arial"/>
          <w:sz w:val="20"/>
          <w:szCs w:val="20"/>
        </w:rPr>
      </w:pPr>
      <w:r>
        <w:rPr>
          <w:rFonts w:ascii="Arial" w:hAnsi="Arial"/>
          <w:sz w:val="20"/>
        </w:rPr>
        <w:t>Total revenue: VND466.49 billion.</w:t>
      </w:r>
    </w:p>
    <w:p w14:paraId="26C40BC1" w14:textId="77777777" w:rsidR="00287C37" w:rsidRDefault="001F1A93" w:rsidP="001121AB">
      <w:pPr>
        <w:numPr>
          <w:ilvl w:val="0"/>
          <w:numId w:val="2"/>
        </w:numPr>
        <w:pBdr>
          <w:top w:val="nil"/>
          <w:left w:val="nil"/>
          <w:bottom w:val="nil"/>
          <w:right w:val="nil"/>
          <w:between w:val="nil"/>
        </w:pBdr>
        <w:tabs>
          <w:tab w:val="left" w:pos="432"/>
          <w:tab w:val="left" w:pos="1984"/>
        </w:tabs>
        <w:spacing w:after="120" w:line="360" w:lineRule="auto"/>
        <w:jc w:val="both"/>
        <w:rPr>
          <w:rFonts w:ascii="Arial" w:eastAsia="Arial" w:hAnsi="Arial" w:cs="Arial"/>
          <w:sz w:val="20"/>
          <w:szCs w:val="20"/>
        </w:rPr>
      </w:pPr>
      <w:r>
        <w:rPr>
          <w:rFonts w:ascii="Arial" w:hAnsi="Arial"/>
          <w:sz w:val="20"/>
        </w:rPr>
        <w:t>Profit before tax: VND4.35 billion</w:t>
      </w:r>
    </w:p>
    <w:p w14:paraId="4A03A9FA" w14:textId="77777777" w:rsidR="00287C37" w:rsidRDefault="001F1A93" w:rsidP="001121AB">
      <w:pPr>
        <w:keepNext/>
        <w:numPr>
          <w:ilvl w:val="0"/>
          <w:numId w:val="3"/>
        </w:numPr>
        <w:pBdr>
          <w:top w:val="nil"/>
          <w:left w:val="nil"/>
          <w:bottom w:val="nil"/>
          <w:right w:val="nil"/>
          <w:between w:val="nil"/>
        </w:pBdr>
        <w:tabs>
          <w:tab w:val="left" w:pos="432"/>
          <w:tab w:val="left" w:pos="2069"/>
        </w:tabs>
        <w:spacing w:after="120" w:line="360" w:lineRule="auto"/>
        <w:jc w:val="both"/>
        <w:rPr>
          <w:rFonts w:ascii="Arial" w:eastAsia="Arial" w:hAnsi="Arial" w:cs="Arial"/>
          <w:sz w:val="20"/>
          <w:szCs w:val="20"/>
        </w:rPr>
      </w:pPr>
      <w:r>
        <w:rPr>
          <w:rFonts w:ascii="Arial" w:hAnsi="Arial"/>
          <w:sz w:val="20"/>
        </w:rPr>
        <w:t>The Report of the Supervisory Board;</w:t>
      </w:r>
    </w:p>
    <w:p w14:paraId="099CC4E0"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Approve the Report of the Supervisory Board on assessment the Audited Financial Statements 2023 and the Report on the activities of the Supervisory Board.</w:t>
      </w:r>
    </w:p>
    <w:p w14:paraId="5E396BD0" w14:textId="77777777" w:rsidR="00287C37" w:rsidRDefault="001F1A93" w:rsidP="001121AB">
      <w:pPr>
        <w:keepNext/>
        <w:numPr>
          <w:ilvl w:val="0"/>
          <w:numId w:val="3"/>
        </w:numPr>
        <w:pBdr>
          <w:top w:val="nil"/>
          <w:left w:val="nil"/>
          <w:bottom w:val="nil"/>
          <w:right w:val="nil"/>
          <w:between w:val="nil"/>
        </w:pBdr>
        <w:tabs>
          <w:tab w:val="left" w:pos="432"/>
          <w:tab w:val="left" w:pos="2078"/>
        </w:tabs>
        <w:spacing w:after="120" w:line="360" w:lineRule="auto"/>
        <w:jc w:val="both"/>
        <w:rPr>
          <w:rFonts w:ascii="Arial" w:eastAsia="Arial" w:hAnsi="Arial" w:cs="Arial"/>
          <w:sz w:val="20"/>
          <w:szCs w:val="20"/>
        </w:rPr>
      </w:pPr>
      <w:r>
        <w:rPr>
          <w:rFonts w:ascii="Arial" w:hAnsi="Arial"/>
          <w:sz w:val="20"/>
        </w:rPr>
        <w:t>Approve the total remuneration in 2024:</w:t>
      </w:r>
    </w:p>
    <w:p w14:paraId="5BE9EB5E" w14:textId="77777777" w:rsidR="00287C37" w:rsidRDefault="001F1A93" w:rsidP="001121AB">
      <w:pPr>
        <w:numPr>
          <w:ilvl w:val="0"/>
          <w:numId w:val="2"/>
        </w:numPr>
        <w:pBdr>
          <w:top w:val="nil"/>
          <w:left w:val="nil"/>
          <w:bottom w:val="nil"/>
          <w:right w:val="nil"/>
          <w:between w:val="nil"/>
        </w:pBdr>
        <w:tabs>
          <w:tab w:val="left" w:pos="432"/>
          <w:tab w:val="left" w:pos="2147"/>
        </w:tabs>
        <w:spacing w:after="120" w:line="360" w:lineRule="auto"/>
        <w:jc w:val="both"/>
        <w:rPr>
          <w:rFonts w:ascii="Arial" w:eastAsia="Arial" w:hAnsi="Arial" w:cs="Arial"/>
          <w:sz w:val="20"/>
          <w:szCs w:val="20"/>
        </w:rPr>
      </w:pPr>
      <w:r>
        <w:rPr>
          <w:rFonts w:ascii="Arial" w:hAnsi="Arial"/>
          <w:sz w:val="20"/>
        </w:rPr>
        <w:t>The total remuneration of the Board of Directors and the Supervisory Board: VND300 million (VND05 million/person/month)</w:t>
      </w:r>
    </w:p>
    <w:p w14:paraId="37F76910" w14:textId="77777777" w:rsidR="00287C37" w:rsidRDefault="001F1A93" w:rsidP="001121AB">
      <w:pPr>
        <w:numPr>
          <w:ilvl w:val="0"/>
          <w:numId w:val="2"/>
        </w:numPr>
        <w:pBdr>
          <w:top w:val="nil"/>
          <w:left w:val="nil"/>
          <w:bottom w:val="nil"/>
          <w:right w:val="nil"/>
          <w:between w:val="nil"/>
        </w:pBdr>
        <w:tabs>
          <w:tab w:val="left" w:pos="432"/>
          <w:tab w:val="left" w:pos="2147"/>
        </w:tabs>
        <w:spacing w:after="120" w:line="360" w:lineRule="auto"/>
        <w:jc w:val="both"/>
        <w:rPr>
          <w:rFonts w:ascii="Arial" w:eastAsia="Arial" w:hAnsi="Arial" w:cs="Arial"/>
          <w:sz w:val="20"/>
          <w:szCs w:val="20"/>
        </w:rPr>
      </w:pPr>
      <w:r>
        <w:rPr>
          <w:rFonts w:ascii="Arial" w:hAnsi="Arial"/>
          <w:sz w:val="20"/>
        </w:rPr>
        <w:t>The total remuneration for the Supervisory Board and the Secretariat of the Board of Directors: VND144 million (VND03 million/person/month)</w:t>
      </w:r>
    </w:p>
    <w:p w14:paraId="29866494" w14:textId="77777777" w:rsidR="00287C37" w:rsidRDefault="001F1A93" w:rsidP="001121AB">
      <w:pPr>
        <w:keepNext/>
        <w:numPr>
          <w:ilvl w:val="0"/>
          <w:numId w:val="3"/>
        </w:numPr>
        <w:pBdr>
          <w:top w:val="nil"/>
          <w:left w:val="nil"/>
          <w:bottom w:val="nil"/>
          <w:right w:val="nil"/>
          <w:between w:val="nil"/>
        </w:pBdr>
        <w:tabs>
          <w:tab w:val="left" w:pos="432"/>
          <w:tab w:val="left" w:pos="1578"/>
        </w:tabs>
        <w:spacing w:after="120" w:line="360" w:lineRule="auto"/>
        <w:jc w:val="both"/>
        <w:rPr>
          <w:rFonts w:ascii="Arial" w:eastAsia="Arial" w:hAnsi="Arial" w:cs="Arial"/>
          <w:sz w:val="20"/>
          <w:szCs w:val="20"/>
        </w:rPr>
      </w:pPr>
      <w:r>
        <w:rPr>
          <w:rFonts w:ascii="Arial" w:hAnsi="Arial"/>
          <w:sz w:val="20"/>
        </w:rPr>
        <w:t>Approve the plan on appropriation for funds and profit distribution in 2023.</w:t>
      </w:r>
    </w:p>
    <w:p w14:paraId="23CD4C79"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undistributed accumulated profit as of December 31, 2023: VND2,701,400,200;</w:t>
      </w:r>
    </w:p>
    <w:p w14:paraId="15FB751B"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No dividend payment in 2023</w:t>
      </w:r>
    </w:p>
    <w:p w14:paraId="6AC85AA8"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Appropriation for funds: No appropriation for funds</w:t>
      </w:r>
    </w:p>
    <w:p w14:paraId="234AD4AC" w14:textId="77777777" w:rsidR="00287C37" w:rsidRDefault="001F1A93" w:rsidP="001121AB">
      <w:pPr>
        <w:keepNext/>
        <w:numPr>
          <w:ilvl w:val="0"/>
          <w:numId w:val="3"/>
        </w:numPr>
        <w:pBdr>
          <w:top w:val="nil"/>
          <w:left w:val="nil"/>
          <w:bottom w:val="nil"/>
          <w:right w:val="nil"/>
          <w:between w:val="nil"/>
        </w:pBdr>
        <w:tabs>
          <w:tab w:val="left" w:pos="432"/>
          <w:tab w:val="left" w:pos="1575"/>
        </w:tabs>
        <w:spacing w:after="120" w:line="360" w:lineRule="auto"/>
        <w:jc w:val="both"/>
        <w:rPr>
          <w:rFonts w:ascii="Arial" w:eastAsia="Arial" w:hAnsi="Arial" w:cs="Arial"/>
          <w:sz w:val="20"/>
          <w:szCs w:val="20"/>
        </w:rPr>
      </w:pPr>
      <w:r>
        <w:rPr>
          <w:rFonts w:ascii="Arial" w:hAnsi="Arial"/>
          <w:sz w:val="20"/>
        </w:rPr>
        <w:t>Authorize the Board of Directors to select an audit company for the Financial Statements 2024;</w:t>
      </w:r>
    </w:p>
    <w:p w14:paraId="08CD84DB"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General Meeting of Shareholders authorized the Board of Directors to select an appropriate audit company for the Financial Statements 2024 of the Company.</w:t>
      </w:r>
    </w:p>
    <w:p w14:paraId="4F6E8C24" w14:textId="77777777" w:rsidR="00287C37" w:rsidRDefault="001F1A93" w:rsidP="001121AB">
      <w:pPr>
        <w:keepNext/>
        <w:numPr>
          <w:ilvl w:val="0"/>
          <w:numId w:val="3"/>
        </w:numPr>
        <w:pBdr>
          <w:top w:val="nil"/>
          <w:left w:val="nil"/>
          <w:bottom w:val="nil"/>
          <w:right w:val="nil"/>
          <w:between w:val="nil"/>
        </w:pBdr>
        <w:tabs>
          <w:tab w:val="left" w:pos="432"/>
          <w:tab w:val="left" w:pos="1575"/>
        </w:tabs>
        <w:spacing w:after="120" w:line="360" w:lineRule="auto"/>
        <w:jc w:val="both"/>
        <w:rPr>
          <w:rFonts w:ascii="Arial" w:eastAsia="Arial" w:hAnsi="Arial" w:cs="Arial"/>
          <w:sz w:val="20"/>
          <w:szCs w:val="20"/>
        </w:rPr>
      </w:pPr>
      <w:r>
        <w:rPr>
          <w:rFonts w:ascii="Arial" w:hAnsi="Arial"/>
          <w:sz w:val="20"/>
        </w:rPr>
        <w:t>Approve the production and business plan in 2024 with the following targets and orientation:</w:t>
      </w:r>
    </w:p>
    <w:p w14:paraId="5F031EF6" w14:textId="77777777" w:rsidR="00287C37" w:rsidRDefault="001F1A93" w:rsidP="001121A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Financial targets in 2024:</w:t>
      </w:r>
    </w:p>
    <w:tbl>
      <w:tblPr>
        <w:tblStyle w:val="a"/>
        <w:tblW w:w="9019" w:type="dxa"/>
        <w:tblLayout w:type="fixed"/>
        <w:tblLook w:val="0400" w:firstRow="0" w:lastRow="0" w:firstColumn="0" w:lastColumn="0" w:noHBand="0" w:noVBand="1"/>
      </w:tblPr>
      <w:tblGrid>
        <w:gridCol w:w="1085"/>
        <w:gridCol w:w="4379"/>
        <w:gridCol w:w="3555"/>
      </w:tblGrid>
      <w:tr w:rsidR="00287C37" w14:paraId="327F437B" w14:textId="77777777">
        <w:trPr>
          <w:trHeight w:val="20"/>
        </w:trPr>
        <w:tc>
          <w:tcPr>
            <w:tcW w:w="1085" w:type="dxa"/>
            <w:tcBorders>
              <w:top w:val="single" w:sz="4" w:space="0" w:color="000000"/>
              <w:left w:val="single" w:sz="4" w:space="0" w:color="000000"/>
            </w:tcBorders>
            <w:shd w:val="clear" w:color="auto" w:fill="FFFFFF"/>
            <w:tcMar>
              <w:top w:w="0" w:type="dxa"/>
              <w:bottom w:w="0" w:type="dxa"/>
            </w:tcMar>
            <w:vAlign w:val="center"/>
          </w:tcPr>
          <w:p w14:paraId="15C7B410"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No.</w:t>
            </w:r>
          </w:p>
        </w:tc>
        <w:tc>
          <w:tcPr>
            <w:tcW w:w="4379" w:type="dxa"/>
            <w:tcBorders>
              <w:top w:val="single" w:sz="4" w:space="0" w:color="000000"/>
              <w:left w:val="single" w:sz="4" w:space="0" w:color="000000"/>
            </w:tcBorders>
            <w:shd w:val="clear" w:color="auto" w:fill="FFFFFF"/>
            <w:tcMar>
              <w:top w:w="0" w:type="dxa"/>
              <w:bottom w:w="0" w:type="dxa"/>
            </w:tcMar>
            <w:vAlign w:val="center"/>
          </w:tcPr>
          <w:p w14:paraId="2953847C"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Targets</w:t>
            </w:r>
          </w:p>
        </w:tc>
        <w:tc>
          <w:tcPr>
            <w:tcW w:w="3555"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40E4525"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Plan 2024 (billion VND)</w:t>
            </w:r>
          </w:p>
        </w:tc>
      </w:tr>
      <w:tr w:rsidR="00287C37" w14:paraId="4200734D" w14:textId="77777777">
        <w:trPr>
          <w:trHeight w:val="20"/>
        </w:trPr>
        <w:tc>
          <w:tcPr>
            <w:tcW w:w="1085" w:type="dxa"/>
            <w:tcBorders>
              <w:top w:val="single" w:sz="4" w:space="0" w:color="000000"/>
              <w:left w:val="single" w:sz="4" w:space="0" w:color="000000"/>
            </w:tcBorders>
            <w:shd w:val="clear" w:color="auto" w:fill="FFFFFF"/>
            <w:tcMar>
              <w:top w:w="0" w:type="dxa"/>
              <w:bottom w:w="0" w:type="dxa"/>
            </w:tcMar>
            <w:vAlign w:val="bottom"/>
          </w:tcPr>
          <w:p w14:paraId="574C9183"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1</w:t>
            </w:r>
          </w:p>
        </w:tc>
        <w:tc>
          <w:tcPr>
            <w:tcW w:w="4379" w:type="dxa"/>
            <w:tcBorders>
              <w:top w:val="single" w:sz="4" w:space="0" w:color="000000"/>
              <w:left w:val="single" w:sz="4" w:space="0" w:color="000000"/>
            </w:tcBorders>
            <w:shd w:val="clear" w:color="auto" w:fill="FFFFFF"/>
            <w:tcMar>
              <w:top w:w="0" w:type="dxa"/>
              <w:bottom w:w="0" w:type="dxa"/>
            </w:tcMar>
          </w:tcPr>
          <w:p w14:paraId="2F772189"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Total revenue</w:t>
            </w:r>
          </w:p>
        </w:tc>
        <w:tc>
          <w:tcPr>
            <w:tcW w:w="3555" w:type="dxa"/>
            <w:tcBorders>
              <w:top w:val="single" w:sz="4" w:space="0" w:color="000000"/>
              <w:left w:val="single" w:sz="4" w:space="0" w:color="000000"/>
              <w:right w:val="single" w:sz="4" w:space="0" w:color="000000"/>
            </w:tcBorders>
            <w:shd w:val="clear" w:color="auto" w:fill="FFFFFF"/>
            <w:tcMar>
              <w:top w:w="0" w:type="dxa"/>
              <w:bottom w:w="0" w:type="dxa"/>
            </w:tcMar>
          </w:tcPr>
          <w:p w14:paraId="084E6189"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450</w:t>
            </w:r>
          </w:p>
        </w:tc>
      </w:tr>
      <w:tr w:rsidR="00287C37" w14:paraId="0D004CC8" w14:textId="77777777">
        <w:trPr>
          <w:trHeight w:val="20"/>
        </w:trPr>
        <w:tc>
          <w:tcPr>
            <w:tcW w:w="1085" w:type="dxa"/>
            <w:tcBorders>
              <w:top w:val="single" w:sz="4" w:space="0" w:color="000000"/>
              <w:left w:val="single" w:sz="4" w:space="0" w:color="000000"/>
            </w:tcBorders>
            <w:shd w:val="clear" w:color="auto" w:fill="FFFFFF"/>
            <w:tcMar>
              <w:top w:w="0" w:type="dxa"/>
              <w:bottom w:w="0" w:type="dxa"/>
            </w:tcMar>
            <w:vAlign w:val="bottom"/>
          </w:tcPr>
          <w:p w14:paraId="26542319"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2</w:t>
            </w:r>
          </w:p>
        </w:tc>
        <w:tc>
          <w:tcPr>
            <w:tcW w:w="4379" w:type="dxa"/>
            <w:tcBorders>
              <w:top w:val="single" w:sz="4" w:space="0" w:color="000000"/>
              <w:left w:val="single" w:sz="4" w:space="0" w:color="000000"/>
            </w:tcBorders>
            <w:shd w:val="clear" w:color="auto" w:fill="FFFFFF"/>
            <w:tcMar>
              <w:top w:w="0" w:type="dxa"/>
              <w:bottom w:w="0" w:type="dxa"/>
            </w:tcMar>
          </w:tcPr>
          <w:p w14:paraId="04D32C8F"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before tax</w:t>
            </w:r>
          </w:p>
        </w:tc>
        <w:tc>
          <w:tcPr>
            <w:tcW w:w="3555" w:type="dxa"/>
            <w:tcBorders>
              <w:top w:val="single" w:sz="4" w:space="0" w:color="000000"/>
              <w:left w:val="single" w:sz="4" w:space="0" w:color="000000"/>
              <w:right w:val="single" w:sz="4" w:space="0" w:color="000000"/>
            </w:tcBorders>
            <w:shd w:val="clear" w:color="auto" w:fill="FFFFFF"/>
            <w:tcMar>
              <w:top w:w="0" w:type="dxa"/>
              <w:bottom w:w="0" w:type="dxa"/>
            </w:tcMar>
          </w:tcPr>
          <w:p w14:paraId="34611F73"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5</w:t>
            </w:r>
          </w:p>
        </w:tc>
      </w:tr>
      <w:tr w:rsidR="00287C37" w14:paraId="7CBF4D89" w14:textId="77777777">
        <w:trPr>
          <w:trHeight w:val="20"/>
        </w:trPr>
        <w:tc>
          <w:tcPr>
            <w:tcW w:w="1085" w:type="dxa"/>
            <w:tcBorders>
              <w:top w:val="single" w:sz="4" w:space="0" w:color="000000"/>
              <w:left w:val="single" w:sz="4" w:space="0" w:color="000000"/>
            </w:tcBorders>
            <w:shd w:val="clear" w:color="auto" w:fill="FFFFFF"/>
            <w:tcMar>
              <w:top w:w="0" w:type="dxa"/>
              <w:bottom w:w="0" w:type="dxa"/>
            </w:tcMar>
            <w:vAlign w:val="bottom"/>
          </w:tcPr>
          <w:p w14:paraId="5F8E4B81"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3</w:t>
            </w:r>
          </w:p>
        </w:tc>
        <w:tc>
          <w:tcPr>
            <w:tcW w:w="4379" w:type="dxa"/>
            <w:tcBorders>
              <w:top w:val="single" w:sz="4" w:space="0" w:color="000000"/>
              <w:left w:val="single" w:sz="4" w:space="0" w:color="000000"/>
            </w:tcBorders>
            <w:shd w:val="clear" w:color="auto" w:fill="FFFFFF"/>
            <w:tcMar>
              <w:top w:w="0" w:type="dxa"/>
              <w:bottom w:w="0" w:type="dxa"/>
            </w:tcMar>
          </w:tcPr>
          <w:p w14:paraId="70F36C33"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Payables to the State budget</w:t>
            </w:r>
          </w:p>
        </w:tc>
        <w:tc>
          <w:tcPr>
            <w:tcW w:w="3555" w:type="dxa"/>
            <w:tcBorders>
              <w:top w:val="single" w:sz="4" w:space="0" w:color="000000"/>
              <w:left w:val="single" w:sz="4" w:space="0" w:color="000000"/>
              <w:right w:val="single" w:sz="4" w:space="0" w:color="000000"/>
            </w:tcBorders>
            <w:shd w:val="clear" w:color="auto" w:fill="FFFFFF"/>
            <w:tcMar>
              <w:top w:w="0" w:type="dxa"/>
              <w:bottom w:w="0" w:type="dxa"/>
            </w:tcMar>
          </w:tcPr>
          <w:p w14:paraId="458AE6A6"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1</w:t>
            </w:r>
          </w:p>
        </w:tc>
      </w:tr>
      <w:tr w:rsidR="00287C37" w14:paraId="376E7E41" w14:textId="77777777">
        <w:trPr>
          <w:trHeight w:val="20"/>
        </w:trPr>
        <w:tc>
          <w:tcPr>
            <w:tcW w:w="108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520E7BCD"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4</w:t>
            </w:r>
          </w:p>
        </w:tc>
        <w:tc>
          <w:tcPr>
            <w:tcW w:w="4379" w:type="dxa"/>
            <w:tcBorders>
              <w:top w:val="single" w:sz="4" w:space="0" w:color="000000"/>
              <w:left w:val="single" w:sz="4" w:space="0" w:color="000000"/>
              <w:bottom w:val="single" w:sz="4" w:space="0" w:color="000000"/>
            </w:tcBorders>
            <w:shd w:val="clear" w:color="auto" w:fill="FFFFFF"/>
            <w:tcMar>
              <w:top w:w="0" w:type="dxa"/>
              <w:bottom w:w="0" w:type="dxa"/>
            </w:tcMar>
          </w:tcPr>
          <w:p w14:paraId="10B04B35"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Profit after tax</w:t>
            </w:r>
          </w:p>
        </w:tc>
        <w:tc>
          <w:tcPr>
            <w:tcW w:w="355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5641DAAA"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4</w:t>
            </w:r>
          </w:p>
        </w:tc>
      </w:tr>
    </w:tbl>
    <w:p w14:paraId="24EE5CEE"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The General Meeting authorized the Board of Directors and the General Manager to develop an appropriate and flexible production and business plan with the highest goal of bringing profit to the Company, ensuring to maintain customer market share, striving to complete the production and business plan in 2024 as mentioned above.</w:t>
      </w:r>
    </w:p>
    <w:p w14:paraId="676FDDB7" w14:textId="355868BC"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lastRenderedPageBreak/>
        <w:t xml:space="preserve">Article 2 The </w:t>
      </w:r>
      <w:r w:rsidR="00D374D7">
        <w:rPr>
          <w:rFonts w:ascii="Arial" w:hAnsi="Arial"/>
          <w:sz w:val="20"/>
        </w:rPr>
        <w:t>General Mandate</w:t>
      </w:r>
      <w:r>
        <w:rPr>
          <w:rFonts w:ascii="Arial" w:hAnsi="Arial"/>
          <w:sz w:val="20"/>
        </w:rPr>
        <w:t xml:space="preserve"> takes effect </w:t>
      </w:r>
      <w:proofErr w:type="spellStart"/>
      <w:r>
        <w:rPr>
          <w:rFonts w:ascii="Arial" w:hAnsi="Arial"/>
          <w:sz w:val="20"/>
        </w:rPr>
        <w:t>fromJune</w:t>
      </w:r>
      <w:proofErr w:type="spellEnd"/>
      <w:r>
        <w:rPr>
          <w:rFonts w:ascii="Arial" w:hAnsi="Arial"/>
          <w:sz w:val="20"/>
        </w:rPr>
        <w:t xml:space="preserve"> 29, 2024.</w:t>
      </w:r>
    </w:p>
    <w:p w14:paraId="4999ABB8" w14:textId="77777777" w:rsidR="00287C37" w:rsidRDefault="001F1A93" w:rsidP="001121AB">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3 The Board of Directors, the Supervisory Board, the Board of Managers and all shareholders of Truong </w:t>
      </w:r>
      <w:proofErr w:type="spellStart"/>
      <w:r>
        <w:rPr>
          <w:rFonts w:ascii="Arial" w:hAnsi="Arial"/>
          <w:sz w:val="20"/>
        </w:rPr>
        <w:t>Phu</w:t>
      </w:r>
      <w:proofErr w:type="spellEnd"/>
      <w:r>
        <w:rPr>
          <w:rFonts w:ascii="Arial" w:hAnsi="Arial"/>
          <w:sz w:val="20"/>
        </w:rPr>
        <w:t xml:space="preserve"> JSC are responsible for implementing this General Mandate.</w:t>
      </w:r>
    </w:p>
    <w:sectPr w:rsidR="00287C37">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30DD"/>
    <w:multiLevelType w:val="multilevel"/>
    <w:tmpl w:val="AC1EAA8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7E49FC"/>
    <w:multiLevelType w:val="multilevel"/>
    <w:tmpl w:val="FB56E06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084570D"/>
    <w:multiLevelType w:val="multilevel"/>
    <w:tmpl w:val="A3127AF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37"/>
    <w:rsid w:val="001121AB"/>
    <w:rsid w:val="001F1A93"/>
    <w:rsid w:val="00287C37"/>
    <w:rsid w:val="00D3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62626"/>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262626"/>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4"/>
      <w:szCs w:val="24"/>
      <w:u w:val="none"/>
      <w:shd w:val="clear" w:color="auto" w:fill="auto"/>
    </w:rPr>
  </w:style>
  <w:style w:type="paragraph" w:customStyle="1" w:styleId="Other0">
    <w:name w:val="Other"/>
    <w:basedOn w:val="Normal"/>
    <w:link w:val="Other"/>
    <w:pPr>
      <w:spacing w:line="338"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338"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color w:val="262626"/>
      <w:sz w:val="18"/>
      <w:szCs w:val="18"/>
    </w:rPr>
  </w:style>
  <w:style w:type="paragraph" w:customStyle="1" w:styleId="Heading11">
    <w:name w:val="Heading #1"/>
    <w:basedOn w:val="Normal"/>
    <w:link w:val="Heading10"/>
    <w:pPr>
      <w:ind w:left="2640"/>
      <w:outlineLvl w:val="0"/>
    </w:pPr>
    <w:rPr>
      <w:rFonts w:ascii="Times New Roman" w:eastAsia="Times New Roman" w:hAnsi="Times New Roman" w:cs="Times New Roman"/>
      <w:color w:val="262626"/>
      <w:sz w:val="28"/>
      <w:szCs w:val="28"/>
    </w:rPr>
  </w:style>
  <w:style w:type="paragraph" w:customStyle="1" w:styleId="Heading21">
    <w:name w:val="Heading #2"/>
    <w:basedOn w:val="Normal"/>
    <w:link w:val="Heading20"/>
    <w:pPr>
      <w:spacing w:line="377" w:lineRule="auto"/>
      <w:ind w:left="122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60" w:lineRule="auto"/>
      <w:jc w:val="center"/>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62626"/>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262626"/>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4"/>
      <w:szCs w:val="24"/>
      <w:u w:val="none"/>
      <w:shd w:val="clear" w:color="auto" w:fill="auto"/>
    </w:rPr>
  </w:style>
  <w:style w:type="paragraph" w:customStyle="1" w:styleId="Other0">
    <w:name w:val="Other"/>
    <w:basedOn w:val="Normal"/>
    <w:link w:val="Other"/>
    <w:pPr>
      <w:spacing w:line="338" w:lineRule="auto"/>
    </w:pPr>
    <w:rPr>
      <w:rFonts w:ascii="Times New Roman" w:eastAsia="Times New Roman" w:hAnsi="Times New Roman" w:cs="Times New Roman"/>
      <w:sz w:val="22"/>
      <w:szCs w:val="22"/>
    </w:rPr>
  </w:style>
  <w:style w:type="paragraph" w:styleId="BodyText">
    <w:name w:val="Body Text"/>
    <w:basedOn w:val="Normal"/>
    <w:link w:val="BodyTextChar"/>
    <w:qFormat/>
    <w:pPr>
      <w:spacing w:line="338"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color w:val="262626"/>
      <w:sz w:val="18"/>
      <w:szCs w:val="18"/>
    </w:rPr>
  </w:style>
  <w:style w:type="paragraph" w:customStyle="1" w:styleId="Heading11">
    <w:name w:val="Heading #1"/>
    <w:basedOn w:val="Normal"/>
    <w:link w:val="Heading10"/>
    <w:pPr>
      <w:ind w:left="2640"/>
      <w:outlineLvl w:val="0"/>
    </w:pPr>
    <w:rPr>
      <w:rFonts w:ascii="Times New Roman" w:eastAsia="Times New Roman" w:hAnsi="Times New Roman" w:cs="Times New Roman"/>
      <w:color w:val="262626"/>
      <w:sz w:val="28"/>
      <w:szCs w:val="28"/>
    </w:rPr>
  </w:style>
  <w:style w:type="paragraph" w:customStyle="1" w:styleId="Heading21">
    <w:name w:val="Heading #2"/>
    <w:basedOn w:val="Normal"/>
    <w:link w:val="Heading20"/>
    <w:pPr>
      <w:spacing w:line="377" w:lineRule="auto"/>
      <w:ind w:left="1220"/>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pPr>
      <w:spacing w:line="360" w:lineRule="auto"/>
      <w:jc w:val="center"/>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iAXNVG9smgi6dsz8cAps6OWIQ==">CgMxLjA4AHIhMVFPQkFZZzhwNmtjNVdsZXdjV0RseVI3VTlNdFZnSE1H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2024-07-05T04:13:00Z</dcterms:created>
  <dcterms:modified xsi:type="dcterms:W3CDTF">2024-07-09T03:18:00Z</dcterms:modified>
</cp:coreProperties>
</file>