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9023E" w:rsidRPr="00E412BB" w:rsidRDefault="00E412BB" w:rsidP="00E957D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E412BB">
        <w:rPr>
          <w:rFonts w:ascii="Arial" w:hAnsi="Arial" w:cs="Arial"/>
          <w:b/>
          <w:color w:val="010000"/>
          <w:sz w:val="20"/>
        </w:rPr>
        <w:t>DIH: Board Resolution</w:t>
      </w:r>
    </w:p>
    <w:p w14:paraId="00000002" w14:textId="36A35AE3" w:rsidR="0029023E" w:rsidRPr="00E412BB" w:rsidRDefault="00E412BB" w:rsidP="00E957D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412BB">
        <w:rPr>
          <w:rFonts w:ascii="Arial" w:hAnsi="Arial" w:cs="Arial"/>
          <w:color w:val="010000"/>
          <w:sz w:val="20"/>
        </w:rPr>
        <w:t xml:space="preserve">On July 29, 2024, Development Investment Construction Hoi </w:t>
      </w:r>
      <w:proofErr w:type="gramStart"/>
      <w:r w:rsidRPr="00E412BB">
        <w:rPr>
          <w:rFonts w:ascii="Arial" w:hAnsi="Arial" w:cs="Arial"/>
          <w:color w:val="010000"/>
          <w:sz w:val="20"/>
        </w:rPr>
        <w:t>An</w:t>
      </w:r>
      <w:proofErr w:type="gramEnd"/>
      <w:r w:rsidRPr="00E412BB">
        <w:rPr>
          <w:rFonts w:ascii="Arial" w:hAnsi="Arial" w:cs="Arial"/>
          <w:color w:val="010000"/>
          <w:sz w:val="20"/>
        </w:rPr>
        <w:t xml:space="preserve"> JSC announced Resolution No. 50/NQ-HDQT on approving registration of increasing charter capital of the Company after finishing dividend payment 2023 by shares as follows:</w:t>
      </w:r>
    </w:p>
    <w:p w14:paraId="00000003" w14:textId="0F79B59E" w:rsidR="0029023E" w:rsidRPr="00E412BB" w:rsidRDefault="00E412BB" w:rsidP="00E957D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412BB">
        <w:rPr>
          <w:rFonts w:ascii="Arial" w:hAnsi="Arial" w:cs="Arial"/>
          <w:color w:val="010000"/>
          <w:sz w:val="20"/>
        </w:rPr>
        <w:t xml:space="preserve">Article 1: Increase the Company’s charter capital from VND59,949,620,000 </w:t>
      </w:r>
      <w:r w:rsidR="00645C38">
        <w:rPr>
          <w:rFonts w:ascii="Arial" w:hAnsi="Arial" w:cs="Arial"/>
          <w:color w:val="010000"/>
          <w:sz w:val="20"/>
        </w:rPr>
        <w:t>(</w:t>
      </w:r>
      <w:r w:rsidRPr="00E412BB">
        <w:rPr>
          <w:rFonts w:ascii="Arial" w:hAnsi="Arial" w:cs="Arial"/>
          <w:color w:val="010000"/>
          <w:sz w:val="20"/>
        </w:rPr>
        <w:t xml:space="preserve">equivalent to 5,994,962 shares to VND68,941,640,000 </w:t>
      </w:r>
      <w:r w:rsidR="00645C38">
        <w:rPr>
          <w:rFonts w:ascii="Arial" w:hAnsi="Arial" w:cs="Arial"/>
          <w:color w:val="010000"/>
          <w:sz w:val="20"/>
        </w:rPr>
        <w:t xml:space="preserve">which is </w:t>
      </w:r>
      <w:bookmarkStart w:id="0" w:name="_GoBack"/>
      <w:bookmarkEnd w:id="0"/>
      <w:r w:rsidRPr="00E412BB">
        <w:rPr>
          <w:rFonts w:ascii="Arial" w:hAnsi="Arial" w:cs="Arial"/>
          <w:color w:val="010000"/>
          <w:sz w:val="20"/>
        </w:rPr>
        <w:t>equivalent to 6,894,164 shares</w:t>
      </w:r>
      <w:r w:rsidR="00645C38">
        <w:rPr>
          <w:rFonts w:ascii="Arial" w:hAnsi="Arial" w:cs="Arial"/>
          <w:color w:val="010000"/>
          <w:sz w:val="20"/>
        </w:rPr>
        <w:t>)</w:t>
      </w:r>
      <w:r w:rsidRPr="00E412BB">
        <w:rPr>
          <w:rFonts w:ascii="Arial" w:hAnsi="Arial" w:cs="Arial"/>
          <w:color w:val="010000"/>
          <w:sz w:val="20"/>
        </w:rPr>
        <w:t xml:space="preserve">. </w:t>
      </w:r>
    </w:p>
    <w:p w14:paraId="00000004" w14:textId="77777777" w:rsidR="0029023E" w:rsidRPr="00E412BB" w:rsidRDefault="00E412BB" w:rsidP="00E957D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412BB">
        <w:rPr>
          <w:rFonts w:ascii="Arial" w:hAnsi="Arial" w:cs="Arial"/>
          <w:color w:val="010000"/>
          <w:sz w:val="20"/>
        </w:rPr>
        <w:t>Form of capital increase: Share issuance for dividend payment in 2023.</w:t>
      </w:r>
    </w:p>
    <w:p w14:paraId="00000005" w14:textId="13E6C79C" w:rsidR="0029023E" w:rsidRPr="00E412BB" w:rsidRDefault="00E412BB" w:rsidP="00E957D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412BB">
        <w:rPr>
          <w:rFonts w:ascii="Arial" w:hAnsi="Arial" w:cs="Arial"/>
          <w:color w:val="010000"/>
          <w:sz w:val="20"/>
        </w:rPr>
        <w:t xml:space="preserve">Article 2: Assign Mr. Tran </w:t>
      </w:r>
      <w:proofErr w:type="spellStart"/>
      <w:r w:rsidRPr="00E412BB">
        <w:rPr>
          <w:rFonts w:ascii="Arial" w:hAnsi="Arial" w:cs="Arial"/>
          <w:color w:val="010000"/>
          <w:sz w:val="20"/>
        </w:rPr>
        <w:t>Dinh</w:t>
      </w:r>
      <w:proofErr w:type="spellEnd"/>
      <w:r w:rsidRPr="00E412BB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E412BB">
        <w:rPr>
          <w:rFonts w:ascii="Arial" w:hAnsi="Arial" w:cs="Arial"/>
          <w:color w:val="010000"/>
          <w:sz w:val="20"/>
        </w:rPr>
        <w:t>Loi</w:t>
      </w:r>
      <w:proofErr w:type="spellEnd"/>
      <w:r w:rsidRPr="00E412BB">
        <w:rPr>
          <w:rFonts w:ascii="Arial" w:hAnsi="Arial" w:cs="Arial"/>
          <w:color w:val="010000"/>
          <w:sz w:val="20"/>
        </w:rPr>
        <w:t xml:space="preserve"> - the Chair of the Board of Directors - the legal representative of the Company, to implement procedures for changing registration in accordance with legal regulations. </w:t>
      </w:r>
    </w:p>
    <w:p w14:paraId="00000006" w14:textId="63CE1176" w:rsidR="0029023E" w:rsidRPr="00E412BB" w:rsidRDefault="00E412BB" w:rsidP="00E957D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412BB">
        <w:rPr>
          <w:rFonts w:ascii="Arial" w:hAnsi="Arial" w:cs="Arial"/>
          <w:color w:val="010000"/>
          <w:sz w:val="20"/>
        </w:rPr>
        <w:t xml:space="preserve">Article 3: Members of the Board of Directors, </w:t>
      </w:r>
      <w:r w:rsidR="00FF3C6D" w:rsidRPr="00E412BB">
        <w:rPr>
          <w:rFonts w:ascii="Arial" w:hAnsi="Arial" w:cs="Arial"/>
          <w:color w:val="010000"/>
          <w:sz w:val="20"/>
        </w:rPr>
        <w:t xml:space="preserve">the Board of Managers, </w:t>
      </w:r>
      <w:r w:rsidRPr="00E412BB">
        <w:rPr>
          <w:rFonts w:ascii="Arial" w:hAnsi="Arial" w:cs="Arial"/>
          <w:color w:val="010000"/>
          <w:sz w:val="20"/>
        </w:rPr>
        <w:t xml:space="preserve">and affiliated Departments, </w:t>
      </w:r>
      <w:r w:rsidR="00FF3C6D" w:rsidRPr="00E412BB">
        <w:rPr>
          <w:rFonts w:ascii="Arial" w:hAnsi="Arial" w:cs="Arial"/>
          <w:color w:val="010000"/>
          <w:sz w:val="20"/>
        </w:rPr>
        <w:t>D</w:t>
      </w:r>
      <w:r w:rsidRPr="00E412BB">
        <w:rPr>
          <w:rFonts w:ascii="Arial" w:hAnsi="Arial" w:cs="Arial"/>
          <w:color w:val="010000"/>
          <w:sz w:val="20"/>
        </w:rPr>
        <w:t xml:space="preserve">ivisions in the Company take responsibility for implementing this Resolution. </w:t>
      </w:r>
    </w:p>
    <w:p w14:paraId="00000007" w14:textId="7380C883" w:rsidR="0029023E" w:rsidRPr="00E412BB" w:rsidRDefault="00E412BB" w:rsidP="00E957D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412BB">
        <w:rPr>
          <w:rFonts w:ascii="Arial" w:hAnsi="Arial" w:cs="Arial"/>
          <w:color w:val="010000"/>
          <w:sz w:val="20"/>
        </w:rPr>
        <w:t>This Resolution takes effect from the date of its signing.</w:t>
      </w:r>
    </w:p>
    <w:sectPr w:rsidR="0029023E" w:rsidRPr="00E412BB" w:rsidSect="00E412BB">
      <w:pgSz w:w="11906" w:h="16834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3E"/>
    <w:rsid w:val="00026282"/>
    <w:rsid w:val="0029023E"/>
    <w:rsid w:val="00645C38"/>
    <w:rsid w:val="00E412BB"/>
    <w:rsid w:val="00E957DB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BE1569"/>
  <w15:docId w15:val="{584F0706-086E-47CA-AF9E-B82AB003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B"/>
      <w:sz w:val="22"/>
      <w:szCs w:val="2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1516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0"/>
      <w:szCs w:val="1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7"/>
      <w:szCs w:val="17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b/>
      <w:bCs/>
      <w:color w:val="27272B"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line="254" w:lineRule="auto"/>
    </w:pPr>
    <w:rPr>
      <w:rFonts w:ascii="Times New Roman" w:eastAsia="Times New Roman" w:hAnsi="Times New Roman" w:cs="Times New Roman"/>
      <w:color w:val="151516"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color w:val="FF0000"/>
      <w:sz w:val="10"/>
      <w:szCs w:val="10"/>
    </w:rPr>
  </w:style>
  <w:style w:type="paragraph" w:customStyle="1" w:styleId="Bodytext30">
    <w:name w:val="Body text (3)"/>
    <w:basedOn w:val="Normal"/>
    <w:link w:val="Bodytext3"/>
    <w:pPr>
      <w:spacing w:line="206" w:lineRule="auto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ry5azTCUddwaXJHjOr5+I6J3iQ==">CgMxLjA4AHIhMUF6RldtMDN2a09kRHBTdmRfWjd1QWtDajRQMFZFWnhn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5</cp:revision>
  <dcterms:created xsi:type="dcterms:W3CDTF">2024-07-31T03:41:00Z</dcterms:created>
  <dcterms:modified xsi:type="dcterms:W3CDTF">2024-08-01T02:31:00Z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05bf12e647a35bec56c4827dc8628d7ecb8364ddec49c341f40b0584db9ffc4f</vt:lpwstr>
  </property>
</Properties>
</file>