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0B52" w:rsidRPr="007F4385" w:rsidRDefault="007F4385" w:rsidP="00CC37D7">
      <w:pPr>
        <w:pBdr>
          <w:top w:val="nil"/>
          <w:left w:val="nil"/>
          <w:bottom w:val="nil"/>
          <w:right w:val="nil"/>
          <w:between w:val="nil"/>
        </w:pBdr>
        <w:tabs>
          <w:tab w:val="left" w:pos="432"/>
        </w:tabs>
        <w:spacing w:after="120" w:line="360" w:lineRule="auto"/>
        <w:jc w:val="both"/>
        <w:rPr>
          <w:rFonts w:ascii="Arial" w:eastAsia="Arial" w:hAnsi="Arial" w:cs="Arial"/>
          <w:b/>
          <w:color w:val="010000"/>
          <w:sz w:val="20"/>
          <w:szCs w:val="20"/>
        </w:rPr>
      </w:pPr>
      <w:r w:rsidRPr="007F4385">
        <w:rPr>
          <w:rFonts w:ascii="Arial" w:hAnsi="Arial" w:cs="Arial"/>
          <w:b/>
          <w:color w:val="010000"/>
          <w:sz w:val="20"/>
        </w:rPr>
        <w:t>FTM: Annual General Mandate 2024</w:t>
      </w:r>
    </w:p>
    <w:p w:rsidR="00CE0B52" w:rsidRPr="007F4385" w:rsidRDefault="007F4385" w:rsidP="00CC37D7">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F4385">
        <w:rPr>
          <w:rFonts w:ascii="Arial" w:hAnsi="Arial" w:cs="Arial"/>
          <w:color w:val="010000"/>
          <w:sz w:val="20"/>
        </w:rPr>
        <w:t>On July 26, 2024, Duc Quan Investment and Development Joint Stock Company announced General Mandate No. 86/2024/NQ-DHDCD-FTM as follows:</w:t>
      </w:r>
    </w:p>
    <w:p w:rsidR="00CE0B52" w:rsidRPr="007F4385" w:rsidRDefault="007F4385" w:rsidP="00CC37D7">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F4385">
        <w:rPr>
          <w:rFonts w:ascii="Arial" w:hAnsi="Arial" w:cs="Arial"/>
          <w:color w:val="010000"/>
          <w:sz w:val="20"/>
        </w:rPr>
        <w:t>Article 1: Approve the Report on production and business results in 2023 and the Report on activities of the Board of Directors in 2023 and the operating orientation of the Board of Directors for 2024.</w:t>
      </w:r>
    </w:p>
    <w:tbl>
      <w:tblPr>
        <w:tblStyle w:val="a"/>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107"/>
        <w:gridCol w:w="1236"/>
        <w:gridCol w:w="894"/>
        <w:gridCol w:w="972"/>
        <w:gridCol w:w="1057"/>
        <w:gridCol w:w="1212"/>
        <w:gridCol w:w="1569"/>
      </w:tblGrid>
      <w:tr w:rsidR="00CE0B52" w:rsidRPr="007F4385" w:rsidTr="007F4385">
        <w:tc>
          <w:tcPr>
            <w:tcW w:w="1165" w:type="pct"/>
            <w:shd w:val="clear" w:color="auto" w:fill="auto"/>
            <w:tcMar>
              <w:top w:w="0" w:type="dxa"/>
              <w:bottom w:w="0" w:type="dxa"/>
            </w:tcMar>
            <w:vAlign w:val="center"/>
          </w:tcPr>
          <w:p w:rsidR="00CE0B52" w:rsidRPr="007F4385" w:rsidRDefault="007F4385" w:rsidP="00F5166B">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7F4385">
              <w:rPr>
                <w:rFonts w:ascii="Arial" w:hAnsi="Arial" w:cs="Arial"/>
                <w:color w:val="010000"/>
                <w:sz w:val="20"/>
              </w:rPr>
              <w:t>Content</w:t>
            </w:r>
            <w:bookmarkStart w:id="0" w:name="_GoBack"/>
            <w:bookmarkEnd w:id="0"/>
          </w:p>
        </w:tc>
        <w:tc>
          <w:tcPr>
            <w:tcW w:w="683" w:type="pct"/>
            <w:shd w:val="clear" w:color="auto" w:fill="auto"/>
            <w:tcMar>
              <w:top w:w="0" w:type="dxa"/>
              <w:bottom w:w="0" w:type="dxa"/>
            </w:tcMar>
            <w:vAlign w:val="center"/>
          </w:tcPr>
          <w:p w:rsidR="00CE0B52" w:rsidRPr="007F4385" w:rsidRDefault="007F4385" w:rsidP="00F5166B">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7F4385">
              <w:rPr>
                <w:rFonts w:ascii="Arial" w:hAnsi="Arial" w:cs="Arial"/>
                <w:color w:val="010000"/>
                <w:sz w:val="20"/>
              </w:rPr>
              <w:t>Unit</w:t>
            </w:r>
          </w:p>
        </w:tc>
        <w:tc>
          <w:tcPr>
            <w:tcW w:w="494" w:type="pct"/>
            <w:shd w:val="clear" w:color="auto" w:fill="auto"/>
            <w:tcMar>
              <w:top w:w="0" w:type="dxa"/>
              <w:bottom w:w="0" w:type="dxa"/>
            </w:tcMar>
            <w:vAlign w:val="center"/>
          </w:tcPr>
          <w:p w:rsidR="00CE0B52" w:rsidRPr="007F4385" w:rsidRDefault="007F4385" w:rsidP="00F5166B">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7F4385">
              <w:rPr>
                <w:rFonts w:ascii="Arial" w:hAnsi="Arial" w:cs="Arial"/>
                <w:color w:val="010000"/>
                <w:sz w:val="20"/>
              </w:rPr>
              <w:t>Plan 2023</w:t>
            </w:r>
          </w:p>
        </w:tc>
        <w:tc>
          <w:tcPr>
            <w:tcW w:w="537" w:type="pct"/>
            <w:shd w:val="clear" w:color="auto" w:fill="auto"/>
            <w:tcMar>
              <w:top w:w="0" w:type="dxa"/>
              <w:bottom w:w="0" w:type="dxa"/>
            </w:tcMar>
            <w:vAlign w:val="center"/>
          </w:tcPr>
          <w:p w:rsidR="00CE0B52" w:rsidRPr="007F4385" w:rsidRDefault="007F4385" w:rsidP="00F5166B">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7F4385">
              <w:rPr>
                <w:rFonts w:ascii="Arial" w:hAnsi="Arial" w:cs="Arial"/>
                <w:color w:val="010000"/>
                <w:sz w:val="20"/>
              </w:rPr>
              <w:t>Results 2023</w:t>
            </w:r>
          </w:p>
        </w:tc>
        <w:tc>
          <w:tcPr>
            <w:tcW w:w="584" w:type="pct"/>
            <w:shd w:val="clear" w:color="auto" w:fill="auto"/>
            <w:tcMar>
              <w:top w:w="0" w:type="dxa"/>
              <w:bottom w:w="0" w:type="dxa"/>
            </w:tcMar>
            <w:vAlign w:val="center"/>
          </w:tcPr>
          <w:p w:rsidR="00CE0B52" w:rsidRPr="007F4385" w:rsidRDefault="007F4385" w:rsidP="00F5166B">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7F4385">
              <w:rPr>
                <w:rFonts w:ascii="Arial" w:hAnsi="Arial" w:cs="Arial"/>
                <w:color w:val="010000"/>
                <w:sz w:val="20"/>
              </w:rPr>
              <w:t>Results 2022</w:t>
            </w:r>
          </w:p>
        </w:tc>
        <w:tc>
          <w:tcPr>
            <w:tcW w:w="670" w:type="pct"/>
            <w:shd w:val="clear" w:color="auto" w:fill="auto"/>
            <w:tcMar>
              <w:top w:w="0" w:type="dxa"/>
              <w:bottom w:w="0" w:type="dxa"/>
            </w:tcMar>
            <w:vAlign w:val="center"/>
          </w:tcPr>
          <w:p w:rsidR="00CE0B52" w:rsidRPr="007F4385" w:rsidRDefault="007F4385" w:rsidP="00F5166B">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7F4385">
              <w:rPr>
                <w:rFonts w:ascii="Arial" w:hAnsi="Arial" w:cs="Arial"/>
                <w:color w:val="010000"/>
                <w:sz w:val="20"/>
              </w:rPr>
              <w:t>Results 2023/Plan 2023 (%)</w:t>
            </w:r>
          </w:p>
        </w:tc>
        <w:tc>
          <w:tcPr>
            <w:tcW w:w="868" w:type="pct"/>
            <w:shd w:val="clear" w:color="auto" w:fill="auto"/>
            <w:tcMar>
              <w:top w:w="0" w:type="dxa"/>
              <w:bottom w:w="0" w:type="dxa"/>
            </w:tcMar>
            <w:vAlign w:val="center"/>
          </w:tcPr>
          <w:p w:rsidR="00CE0B52" w:rsidRPr="007F4385" w:rsidRDefault="007F4385" w:rsidP="00F5166B">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7F4385">
              <w:rPr>
                <w:rFonts w:ascii="Arial" w:hAnsi="Arial" w:cs="Arial"/>
                <w:color w:val="010000"/>
                <w:sz w:val="20"/>
              </w:rPr>
              <w:t>Results 2023/Plan 2022 (%)</w:t>
            </w:r>
          </w:p>
        </w:tc>
      </w:tr>
      <w:tr w:rsidR="00CE0B52" w:rsidRPr="007F4385" w:rsidTr="007F4385">
        <w:tc>
          <w:tcPr>
            <w:tcW w:w="1165" w:type="pct"/>
            <w:shd w:val="clear" w:color="auto" w:fill="auto"/>
            <w:tcMar>
              <w:top w:w="0" w:type="dxa"/>
              <w:bottom w:w="0" w:type="dxa"/>
            </w:tcMar>
            <w:vAlign w:val="center"/>
          </w:tcPr>
          <w:p w:rsidR="00CE0B52" w:rsidRPr="007F4385" w:rsidRDefault="007F4385" w:rsidP="007F4385">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7F4385">
              <w:rPr>
                <w:rFonts w:ascii="Arial" w:hAnsi="Arial" w:cs="Arial"/>
                <w:color w:val="010000"/>
                <w:sz w:val="20"/>
              </w:rPr>
              <w:t>Net revenue</w:t>
            </w:r>
          </w:p>
        </w:tc>
        <w:tc>
          <w:tcPr>
            <w:tcW w:w="683" w:type="pct"/>
            <w:shd w:val="clear" w:color="auto" w:fill="auto"/>
            <w:tcMar>
              <w:top w:w="0" w:type="dxa"/>
              <w:bottom w:w="0" w:type="dxa"/>
            </w:tcMar>
            <w:vAlign w:val="center"/>
          </w:tcPr>
          <w:p w:rsidR="00CE0B52" w:rsidRPr="007F4385" w:rsidRDefault="007F4385" w:rsidP="00F5166B">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7F4385">
              <w:rPr>
                <w:rFonts w:ascii="Arial" w:hAnsi="Arial" w:cs="Arial"/>
                <w:color w:val="010000"/>
                <w:sz w:val="20"/>
              </w:rPr>
              <w:t>Billion VND</w:t>
            </w:r>
          </w:p>
        </w:tc>
        <w:tc>
          <w:tcPr>
            <w:tcW w:w="494" w:type="pct"/>
            <w:shd w:val="clear" w:color="auto" w:fill="auto"/>
            <w:tcMar>
              <w:top w:w="0" w:type="dxa"/>
              <w:bottom w:w="0" w:type="dxa"/>
            </w:tcMar>
            <w:vAlign w:val="center"/>
          </w:tcPr>
          <w:p w:rsidR="00CE0B52" w:rsidRPr="007F4385" w:rsidRDefault="007F4385" w:rsidP="00F5166B">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7F4385">
              <w:rPr>
                <w:rFonts w:ascii="Arial" w:hAnsi="Arial" w:cs="Arial"/>
                <w:color w:val="010000"/>
                <w:sz w:val="20"/>
              </w:rPr>
              <w:t>605</w:t>
            </w:r>
          </w:p>
        </w:tc>
        <w:tc>
          <w:tcPr>
            <w:tcW w:w="537" w:type="pct"/>
            <w:shd w:val="clear" w:color="auto" w:fill="auto"/>
            <w:tcMar>
              <w:top w:w="0" w:type="dxa"/>
              <w:bottom w:w="0" w:type="dxa"/>
            </w:tcMar>
            <w:vAlign w:val="center"/>
          </w:tcPr>
          <w:p w:rsidR="00CE0B52" w:rsidRPr="007F4385" w:rsidRDefault="007F4385" w:rsidP="00F5166B">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7F4385">
              <w:rPr>
                <w:rFonts w:ascii="Arial" w:hAnsi="Arial" w:cs="Arial"/>
                <w:color w:val="010000"/>
                <w:sz w:val="20"/>
              </w:rPr>
              <w:t>175</w:t>
            </w:r>
          </w:p>
        </w:tc>
        <w:tc>
          <w:tcPr>
            <w:tcW w:w="584" w:type="pct"/>
            <w:shd w:val="clear" w:color="auto" w:fill="auto"/>
            <w:tcMar>
              <w:top w:w="0" w:type="dxa"/>
              <w:bottom w:w="0" w:type="dxa"/>
            </w:tcMar>
            <w:vAlign w:val="center"/>
          </w:tcPr>
          <w:p w:rsidR="00CE0B52" w:rsidRPr="007F4385" w:rsidRDefault="007F4385" w:rsidP="00F5166B">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7F4385">
              <w:rPr>
                <w:rFonts w:ascii="Arial" w:hAnsi="Arial" w:cs="Arial"/>
                <w:color w:val="010000"/>
                <w:sz w:val="20"/>
              </w:rPr>
              <w:t>189</w:t>
            </w:r>
          </w:p>
        </w:tc>
        <w:tc>
          <w:tcPr>
            <w:tcW w:w="670" w:type="pct"/>
            <w:shd w:val="clear" w:color="auto" w:fill="auto"/>
            <w:tcMar>
              <w:top w:w="0" w:type="dxa"/>
              <w:bottom w:w="0" w:type="dxa"/>
            </w:tcMar>
            <w:vAlign w:val="center"/>
          </w:tcPr>
          <w:p w:rsidR="00CE0B52" w:rsidRPr="007F4385" w:rsidRDefault="007F4385" w:rsidP="00F5166B">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7F4385">
              <w:rPr>
                <w:rFonts w:ascii="Arial" w:hAnsi="Arial" w:cs="Arial"/>
                <w:color w:val="010000"/>
                <w:sz w:val="20"/>
              </w:rPr>
              <w:t>29%</w:t>
            </w:r>
          </w:p>
        </w:tc>
        <w:tc>
          <w:tcPr>
            <w:tcW w:w="868" w:type="pct"/>
            <w:shd w:val="clear" w:color="auto" w:fill="auto"/>
            <w:tcMar>
              <w:top w:w="0" w:type="dxa"/>
              <w:bottom w:w="0" w:type="dxa"/>
            </w:tcMar>
            <w:vAlign w:val="center"/>
          </w:tcPr>
          <w:p w:rsidR="00CE0B52" w:rsidRPr="007F4385" w:rsidRDefault="007F4385" w:rsidP="00F5166B">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7F4385">
              <w:rPr>
                <w:rFonts w:ascii="Arial" w:hAnsi="Arial" w:cs="Arial"/>
                <w:color w:val="010000"/>
                <w:sz w:val="20"/>
              </w:rPr>
              <w:t>-7.4%</w:t>
            </w:r>
          </w:p>
        </w:tc>
      </w:tr>
      <w:tr w:rsidR="00CE0B52" w:rsidRPr="007F4385" w:rsidTr="007F4385">
        <w:tc>
          <w:tcPr>
            <w:tcW w:w="1165" w:type="pct"/>
            <w:shd w:val="clear" w:color="auto" w:fill="auto"/>
            <w:tcMar>
              <w:top w:w="0" w:type="dxa"/>
              <w:bottom w:w="0" w:type="dxa"/>
            </w:tcMar>
            <w:vAlign w:val="center"/>
          </w:tcPr>
          <w:p w:rsidR="00CE0B52" w:rsidRPr="007F4385" w:rsidRDefault="007F4385" w:rsidP="007F4385">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7F4385">
              <w:rPr>
                <w:rFonts w:ascii="Arial" w:hAnsi="Arial" w:cs="Arial"/>
                <w:color w:val="010000"/>
                <w:sz w:val="20"/>
              </w:rPr>
              <w:t>Profit before tax</w:t>
            </w:r>
          </w:p>
        </w:tc>
        <w:tc>
          <w:tcPr>
            <w:tcW w:w="683" w:type="pct"/>
            <w:shd w:val="clear" w:color="auto" w:fill="auto"/>
            <w:tcMar>
              <w:top w:w="0" w:type="dxa"/>
              <w:bottom w:w="0" w:type="dxa"/>
            </w:tcMar>
            <w:vAlign w:val="center"/>
          </w:tcPr>
          <w:p w:rsidR="00CE0B52" w:rsidRPr="007F4385" w:rsidRDefault="007F4385" w:rsidP="00F5166B">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7F4385">
              <w:rPr>
                <w:rFonts w:ascii="Arial" w:hAnsi="Arial" w:cs="Arial"/>
                <w:color w:val="010000"/>
                <w:sz w:val="20"/>
              </w:rPr>
              <w:t>Billion VND</w:t>
            </w:r>
          </w:p>
        </w:tc>
        <w:tc>
          <w:tcPr>
            <w:tcW w:w="494" w:type="pct"/>
            <w:shd w:val="clear" w:color="auto" w:fill="auto"/>
            <w:tcMar>
              <w:top w:w="0" w:type="dxa"/>
              <w:bottom w:w="0" w:type="dxa"/>
            </w:tcMar>
            <w:vAlign w:val="center"/>
          </w:tcPr>
          <w:p w:rsidR="00CE0B52" w:rsidRPr="007F4385" w:rsidRDefault="007F4385" w:rsidP="00F5166B">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7F4385">
              <w:rPr>
                <w:rFonts w:ascii="Arial" w:hAnsi="Arial" w:cs="Arial"/>
                <w:color w:val="010000"/>
                <w:sz w:val="20"/>
              </w:rPr>
              <w:t>6</w:t>
            </w:r>
          </w:p>
        </w:tc>
        <w:tc>
          <w:tcPr>
            <w:tcW w:w="537" w:type="pct"/>
            <w:shd w:val="clear" w:color="auto" w:fill="auto"/>
            <w:tcMar>
              <w:top w:w="0" w:type="dxa"/>
              <w:bottom w:w="0" w:type="dxa"/>
            </w:tcMar>
            <w:vAlign w:val="center"/>
          </w:tcPr>
          <w:p w:rsidR="00CE0B52" w:rsidRPr="007F4385" w:rsidRDefault="007F4385" w:rsidP="00F5166B">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7F4385">
              <w:rPr>
                <w:rFonts w:ascii="Arial" w:hAnsi="Arial" w:cs="Arial"/>
                <w:color w:val="010000"/>
                <w:sz w:val="20"/>
              </w:rPr>
              <w:t>-322</w:t>
            </w:r>
          </w:p>
        </w:tc>
        <w:tc>
          <w:tcPr>
            <w:tcW w:w="584" w:type="pct"/>
            <w:shd w:val="clear" w:color="auto" w:fill="auto"/>
            <w:tcMar>
              <w:top w:w="0" w:type="dxa"/>
              <w:bottom w:w="0" w:type="dxa"/>
            </w:tcMar>
            <w:vAlign w:val="center"/>
          </w:tcPr>
          <w:p w:rsidR="00CE0B52" w:rsidRPr="007F4385" w:rsidRDefault="007F4385" w:rsidP="00F5166B">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7F4385">
              <w:rPr>
                <w:rFonts w:ascii="Arial" w:hAnsi="Arial" w:cs="Arial"/>
                <w:color w:val="010000"/>
                <w:sz w:val="20"/>
              </w:rPr>
              <w:t>-473</w:t>
            </w:r>
          </w:p>
        </w:tc>
        <w:tc>
          <w:tcPr>
            <w:tcW w:w="670" w:type="pct"/>
            <w:shd w:val="clear" w:color="auto" w:fill="auto"/>
            <w:tcMar>
              <w:top w:w="0" w:type="dxa"/>
              <w:bottom w:w="0" w:type="dxa"/>
            </w:tcMar>
            <w:vAlign w:val="center"/>
          </w:tcPr>
          <w:p w:rsidR="00CE0B52" w:rsidRPr="007F4385" w:rsidRDefault="007F4385" w:rsidP="00F5166B">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7F4385">
              <w:rPr>
                <w:rFonts w:ascii="Arial" w:hAnsi="Arial" w:cs="Arial"/>
                <w:color w:val="010000"/>
                <w:sz w:val="20"/>
              </w:rPr>
              <w:t>-</w:t>
            </w:r>
          </w:p>
        </w:tc>
        <w:tc>
          <w:tcPr>
            <w:tcW w:w="868" w:type="pct"/>
            <w:shd w:val="clear" w:color="auto" w:fill="auto"/>
            <w:tcMar>
              <w:top w:w="0" w:type="dxa"/>
              <w:bottom w:w="0" w:type="dxa"/>
            </w:tcMar>
            <w:vAlign w:val="center"/>
          </w:tcPr>
          <w:p w:rsidR="00CE0B52" w:rsidRPr="007F4385" w:rsidRDefault="007F4385" w:rsidP="00F5166B">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7F4385">
              <w:rPr>
                <w:rFonts w:ascii="Arial" w:hAnsi="Arial" w:cs="Arial"/>
                <w:color w:val="010000"/>
                <w:sz w:val="20"/>
              </w:rPr>
              <w:t>31.9%</w:t>
            </w:r>
          </w:p>
        </w:tc>
      </w:tr>
      <w:tr w:rsidR="00CE0B52" w:rsidRPr="007F4385" w:rsidTr="007F4385">
        <w:tc>
          <w:tcPr>
            <w:tcW w:w="1165" w:type="pct"/>
            <w:shd w:val="clear" w:color="auto" w:fill="auto"/>
            <w:tcMar>
              <w:top w:w="0" w:type="dxa"/>
              <w:bottom w:w="0" w:type="dxa"/>
            </w:tcMar>
            <w:vAlign w:val="center"/>
          </w:tcPr>
          <w:p w:rsidR="00CE0B52" w:rsidRPr="007F4385" w:rsidRDefault="007F4385" w:rsidP="007F4385">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7F4385">
              <w:rPr>
                <w:rFonts w:ascii="Arial" w:hAnsi="Arial" w:cs="Arial"/>
                <w:color w:val="010000"/>
                <w:sz w:val="20"/>
              </w:rPr>
              <w:t>Profit after tax</w:t>
            </w:r>
          </w:p>
        </w:tc>
        <w:tc>
          <w:tcPr>
            <w:tcW w:w="683" w:type="pct"/>
            <w:shd w:val="clear" w:color="auto" w:fill="auto"/>
            <w:tcMar>
              <w:top w:w="0" w:type="dxa"/>
              <w:bottom w:w="0" w:type="dxa"/>
            </w:tcMar>
            <w:vAlign w:val="center"/>
          </w:tcPr>
          <w:p w:rsidR="00CE0B52" w:rsidRPr="007F4385" w:rsidRDefault="007F4385" w:rsidP="00F5166B">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7F4385">
              <w:rPr>
                <w:rFonts w:ascii="Arial" w:hAnsi="Arial" w:cs="Arial"/>
                <w:color w:val="010000"/>
                <w:sz w:val="20"/>
              </w:rPr>
              <w:t>Billion VND</w:t>
            </w:r>
          </w:p>
        </w:tc>
        <w:tc>
          <w:tcPr>
            <w:tcW w:w="494" w:type="pct"/>
            <w:shd w:val="clear" w:color="auto" w:fill="auto"/>
            <w:tcMar>
              <w:top w:w="0" w:type="dxa"/>
              <w:bottom w:w="0" w:type="dxa"/>
            </w:tcMar>
            <w:vAlign w:val="center"/>
          </w:tcPr>
          <w:p w:rsidR="00CE0B52" w:rsidRPr="007F4385" w:rsidRDefault="007F4385" w:rsidP="00F5166B">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7F4385">
              <w:rPr>
                <w:rFonts w:ascii="Arial" w:hAnsi="Arial" w:cs="Arial"/>
                <w:color w:val="010000"/>
                <w:sz w:val="20"/>
              </w:rPr>
              <w:t>4.8</w:t>
            </w:r>
          </w:p>
        </w:tc>
        <w:tc>
          <w:tcPr>
            <w:tcW w:w="537" w:type="pct"/>
            <w:shd w:val="clear" w:color="auto" w:fill="auto"/>
            <w:tcMar>
              <w:top w:w="0" w:type="dxa"/>
              <w:bottom w:w="0" w:type="dxa"/>
            </w:tcMar>
            <w:vAlign w:val="center"/>
          </w:tcPr>
          <w:p w:rsidR="00CE0B52" w:rsidRPr="007F4385" w:rsidRDefault="007F4385" w:rsidP="00F5166B">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7F4385">
              <w:rPr>
                <w:rFonts w:ascii="Arial" w:hAnsi="Arial" w:cs="Arial"/>
                <w:color w:val="010000"/>
                <w:sz w:val="20"/>
              </w:rPr>
              <w:t>-322</w:t>
            </w:r>
          </w:p>
        </w:tc>
        <w:tc>
          <w:tcPr>
            <w:tcW w:w="584" w:type="pct"/>
            <w:shd w:val="clear" w:color="auto" w:fill="auto"/>
            <w:tcMar>
              <w:top w:w="0" w:type="dxa"/>
              <w:bottom w:w="0" w:type="dxa"/>
            </w:tcMar>
            <w:vAlign w:val="center"/>
          </w:tcPr>
          <w:p w:rsidR="00CE0B52" w:rsidRPr="007F4385" w:rsidRDefault="007F4385" w:rsidP="00F5166B">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7F4385">
              <w:rPr>
                <w:rFonts w:ascii="Arial" w:hAnsi="Arial" w:cs="Arial"/>
                <w:color w:val="010000"/>
                <w:sz w:val="20"/>
              </w:rPr>
              <w:t>-473</w:t>
            </w:r>
          </w:p>
        </w:tc>
        <w:tc>
          <w:tcPr>
            <w:tcW w:w="670" w:type="pct"/>
            <w:shd w:val="clear" w:color="auto" w:fill="auto"/>
            <w:tcMar>
              <w:top w:w="0" w:type="dxa"/>
              <w:bottom w:w="0" w:type="dxa"/>
            </w:tcMar>
            <w:vAlign w:val="center"/>
          </w:tcPr>
          <w:p w:rsidR="00CE0B52" w:rsidRPr="007F4385" w:rsidRDefault="007F4385" w:rsidP="00F5166B">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7F4385">
              <w:rPr>
                <w:rFonts w:ascii="Arial" w:hAnsi="Arial" w:cs="Arial"/>
                <w:color w:val="010000"/>
                <w:sz w:val="20"/>
              </w:rPr>
              <w:t>-</w:t>
            </w:r>
          </w:p>
        </w:tc>
        <w:tc>
          <w:tcPr>
            <w:tcW w:w="868" w:type="pct"/>
            <w:shd w:val="clear" w:color="auto" w:fill="auto"/>
            <w:tcMar>
              <w:top w:w="0" w:type="dxa"/>
              <w:bottom w:w="0" w:type="dxa"/>
            </w:tcMar>
            <w:vAlign w:val="center"/>
          </w:tcPr>
          <w:p w:rsidR="00CE0B52" w:rsidRPr="007F4385" w:rsidRDefault="007F4385" w:rsidP="00F5166B">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7F4385">
              <w:rPr>
                <w:rFonts w:ascii="Arial" w:hAnsi="Arial" w:cs="Arial"/>
                <w:color w:val="010000"/>
                <w:sz w:val="20"/>
              </w:rPr>
              <w:t>31.9%</w:t>
            </w:r>
          </w:p>
        </w:tc>
      </w:tr>
    </w:tbl>
    <w:p w:rsidR="00CE0B52" w:rsidRPr="007F4385" w:rsidRDefault="007F4385" w:rsidP="00CC37D7">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F4385">
        <w:rPr>
          <w:rFonts w:ascii="Arial" w:hAnsi="Arial" w:cs="Arial"/>
          <w:color w:val="010000"/>
          <w:sz w:val="20"/>
        </w:rPr>
        <w:t>Article 2: Approve the Audited Financial Statements 2023.</w:t>
      </w:r>
    </w:p>
    <w:p w:rsidR="00CE0B52" w:rsidRPr="007F4385" w:rsidRDefault="007F4385" w:rsidP="00CC37D7">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F4385">
        <w:rPr>
          <w:rFonts w:ascii="Arial" w:hAnsi="Arial" w:cs="Arial"/>
          <w:color w:val="010000"/>
          <w:sz w:val="20"/>
        </w:rPr>
        <w:t>Article 3: Approve the targets of the production and business plan for 2024.</w:t>
      </w:r>
    </w:p>
    <w:tbl>
      <w:tblPr>
        <w:tblStyle w:val="a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08"/>
        <w:gridCol w:w="2481"/>
        <w:gridCol w:w="2207"/>
        <w:gridCol w:w="3651"/>
      </w:tblGrid>
      <w:tr w:rsidR="00CE0B52" w:rsidRPr="007F4385" w:rsidTr="007F4385">
        <w:tc>
          <w:tcPr>
            <w:tcW w:w="391" w:type="pct"/>
            <w:shd w:val="clear" w:color="auto" w:fill="auto"/>
            <w:tcMar>
              <w:top w:w="0" w:type="dxa"/>
              <w:bottom w:w="0" w:type="dxa"/>
            </w:tcMar>
            <w:vAlign w:val="center"/>
          </w:tcPr>
          <w:p w:rsidR="00CE0B52" w:rsidRPr="007F4385" w:rsidRDefault="007F4385" w:rsidP="00C7202B">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7F4385">
              <w:rPr>
                <w:rFonts w:ascii="Arial" w:hAnsi="Arial" w:cs="Arial"/>
                <w:color w:val="010000"/>
                <w:sz w:val="20"/>
              </w:rPr>
              <w:t>No.</w:t>
            </w:r>
          </w:p>
        </w:tc>
        <w:tc>
          <w:tcPr>
            <w:tcW w:w="1371" w:type="pct"/>
            <w:shd w:val="clear" w:color="auto" w:fill="auto"/>
            <w:tcMar>
              <w:top w:w="0" w:type="dxa"/>
              <w:bottom w:w="0" w:type="dxa"/>
            </w:tcMar>
            <w:vAlign w:val="center"/>
          </w:tcPr>
          <w:p w:rsidR="00CE0B52" w:rsidRPr="007F4385" w:rsidRDefault="007F4385" w:rsidP="00C7202B">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7F4385">
              <w:rPr>
                <w:rFonts w:ascii="Arial" w:hAnsi="Arial" w:cs="Arial"/>
                <w:color w:val="010000"/>
                <w:sz w:val="20"/>
              </w:rPr>
              <w:t>Targets</w:t>
            </w:r>
          </w:p>
        </w:tc>
        <w:tc>
          <w:tcPr>
            <w:tcW w:w="1220" w:type="pct"/>
            <w:shd w:val="clear" w:color="auto" w:fill="auto"/>
            <w:tcMar>
              <w:top w:w="0" w:type="dxa"/>
              <w:bottom w:w="0" w:type="dxa"/>
            </w:tcMar>
            <w:vAlign w:val="center"/>
          </w:tcPr>
          <w:p w:rsidR="00CE0B52" w:rsidRPr="007F4385" w:rsidRDefault="007F4385" w:rsidP="00C7202B">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7F4385">
              <w:rPr>
                <w:rFonts w:ascii="Arial" w:hAnsi="Arial" w:cs="Arial"/>
                <w:color w:val="010000"/>
                <w:sz w:val="20"/>
              </w:rPr>
              <w:t>Unit</w:t>
            </w:r>
          </w:p>
        </w:tc>
        <w:tc>
          <w:tcPr>
            <w:tcW w:w="2018" w:type="pct"/>
            <w:shd w:val="clear" w:color="auto" w:fill="auto"/>
            <w:tcMar>
              <w:top w:w="0" w:type="dxa"/>
              <w:bottom w:w="0" w:type="dxa"/>
            </w:tcMar>
            <w:vAlign w:val="center"/>
          </w:tcPr>
          <w:p w:rsidR="00CE0B52" w:rsidRPr="007F4385" w:rsidRDefault="007F4385" w:rsidP="00C7202B">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7F4385">
              <w:rPr>
                <w:rFonts w:ascii="Arial" w:hAnsi="Arial" w:cs="Arial"/>
                <w:color w:val="010000"/>
                <w:sz w:val="20"/>
              </w:rPr>
              <w:t>Plan 2024</w:t>
            </w:r>
          </w:p>
        </w:tc>
      </w:tr>
      <w:tr w:rsidR="00CE0B52" w:rsidRPr="007F4385" w:rsidTr="007F4385">
        <w:tc>
          <w:tcPr>
            <w:tcW w:w="391" w:type="pct"/>
            <w:shd w:val="clear" w:color="auto" w:fill="auto"/>
            <w:tcMar>
              <w:top w:w="0" w:type="dxa"/>
              <w:bottom w:w="0" w:type="dxa"/>
            </w:tcMar>
            <w:vAlign w:val="center"/>
          </w:tcPr>
          <w:p w:rsidR="00CE0B52" w:rsidRPr="007F4385" w:rsidRDefault="007F4385" w:rsidP="00C7202B">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7F4385">
              <w:rPr>
                <w:rFonts w:ascii="Arial" w:hAnsi="Arial" w:cs="Arial"/>
                <w:color w:val="010000"/>
                <w:sz w:val="20"/>
              </w:rPr>
              <w:t>1</w:t>
            </w:r>
          </w:p>
        </w:tc>
        <w:tc>
          <w:tcPr>
            <w:tcW w:w="1371" w:type="pct"/>
            <w:shd w:val="clear" w:color="auto" w:fill="auto"/>
            <w:tcMar>
              <w:top w:w="0" w:type="dxa"/>
              <w:bottom w:w="0" w:type="dxa"/>
            </w:tcMar>
            <w:vAlign w:val="center"/>
          </w:tcPr>
          <w:p w:rsidR="00CE0B52" w:rsidRPr="007F4385" w:rsidRDefault="007F4385" w:rsidP="007F4385">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7F4385">
              <w:rPr>
                <w:rFonts w:ascii="Arial" w:hAnsi="Arial" w:cs="Arial"/>
                <w:color w:val="010000"/>
                <w:sz w:val="20"/>
              </w:rPr>
              <w:t>Output</w:t>
            </w:r>
          </w:p>
        </w:tc>
        <w:tc>
          <w:tcPr>
            <w:tcW w:w="1220" w:type="pct"/>
            <w:shd w:val="clear" w:color="auto" w:fill="auto"/>
            <w:tcMar>
              <w:top w:w="0" w:type="dxa"/>
              <w:bottom w:w="0" w:type="dxa"/>
            </w:tcMar>
            <w:vAlign w:val="center"/>
          </w:tcPr>
          <w:p w:rsidR="00CE0B52" w:rsidRPr="007F4385" w:rsidRDefault="007F4385" w:rsidP="00C7202B">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7F4385">
              <w:rPr>
                <w:rFonts w:ascii="Arial" w:hAnsi="Arial" w:cs="Arial"/>
                <w:color w:val="010000"/>
                <w:sz w:val="20"/>
              </w:rPr>
              <w:t>Tons</w:t>
            </w:r>
          </w:p>
        </w:tc>
        <w:tc>
          <w:tcPr>
            <w:tcW w:w="2018" w:type="pct"/>
            <w:shd w:val="clear" w:color="auto" w:fill="auto"/>
            <w:tcMar>
              <w:top w:w="0" w:type="dxa"/>
              <w:bottom w:w="0" w:type="dxa"/>
            </w:tcMar>
            <w:vAlign w:val="center"/>
          </w:tcPr>
          <w:p w:rsidR="00CE0B52" w:rsidRPr="007F4385" w:rsidRDefault="007F4385" w:rsidP="00C7202B">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7F4385">
              <w:rPr>
                <w:rFonts w:ascii="Arial" w:hAnsi="Arial" w:cs="Arial"/>
                <w:color w:val="010000"/>
                <w:sz w:val="20"/>
              </w:rPr>
              <w:t>13,341</w:t>
            </w:r>
          </w:p>
        </w:tc>
      </w:tr>
      <w:tr w:rsidR="00CE0B52" w:rsidRPr="007F4385" w:rsidTr="007F4385">
        <w:tc>
          <w:tcPr>
            <w:tcW w:w="391" w:type="pct"/>
            <w:shd w:val="clear" w:color="auto" w:fill="auto"/>
            <w:tcMar>
              <w:top w:w="0" w:type="dxa"/>
              <w:bottom w:w="0" w:type="dxa"/>
            </w:tcMar>
            <w:vAlign w:val="center"/>
          </w:tcPr>
          <w:p w:rsidR="00CE0B52" w:rsidRPr="007F4385" w:rsidRDefault="007F4385" w:rsidP="00C7202B">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7F4385">
              <w:rPr>
                <w:rFonts w:ascii="Arial" w:hAnsi="Arial" w:cs="Arial"/>
                <w:color w:val="010000"/>
                <w:sz w:val="20"/>
              </w:rPr>
              <w:t>2</w:t>
            </w:r>
          </w:p>
        </w:tc>
        <w:tc>
          <w:tcPr>
            <w:tcW w:w="1371" w:type="pct"/>
            <w:shd w:val="clear" w:color="auto" w:fill="auto"/>
            <w:tcMar>
              <w:top w:w="0" w:type="dxa"/>
              <w:bottom w:w="0" w:type="dxa"/>
            </w:tcMar>
            <w:vAlign w:val="center"/>
          </w:tcPr>
          <w:p w:rsidR="00CE0B52" w:rsidRPr="007F4385" w:rsidRDefault="007F4385" w:rsidP="007F4385">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7F4385">
              <w:rPr>
                <w:rFonts w:ascii="Arial" w:hAnsi="Arial" w:cs="Arial"/>
                <w:color w:val="010000"/>
                <w:sz w:val="20"/>
              </w:rPr>
              <w:t>Net revenue</w:t>
            </w:r>
          </w:p>
        </w:tc>
        <w:tc>
          <w:tcPr>
            <w:tcW w:w="1220" w:type="pct"/>
            <w:shd w:val="clear" w:color="auto" w:fill="auto"/>
            <w:tcMar>
              <w:top w:w="0" w:type="dxa"/>
              <w:bottom w:w="0" w:type="dxa"/>
            </w:tcMar>
            <w:vAlign w:val="center"/>
          </w:tcPr>
          <w:p w:rsidR="00CE0B52" w:rsidRPr="007F4385" w:rsidRDefault="007F4385" w:rsidP="00C7202B">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7F4385">
              <w:rPr>
                <w:rFonts w:ascii="Arial" w:hAnsi="Arial" w:cs="Arial"/>
                <w:color w:val="010000"/>
                <w:sz w:val="20"/>
              </w:rPr>
              <w:t>Billion VND</w:t>
            </w:r>
          </w:p>
        </w:tc>
        <w:tc>
          <w:tcPr>
            <w:tcW w:w="2018" w:type="pct"/>
            <w:shd w:val="clear" w:color="auto" w:fill="auto"/>
            <w:tcMar>
              <w:top w:w="0" w:type="dxa"/>
              <w:bottom w:w="0" w:type="dxa"/>
            </w:tcMar>
            <w:vAlign w:val="center"/>
          </w:tcPr>
          <w:p w:rsidR="00CE0B52" w:rsidRPr="007F4385" w:rsidRDefault="007F4385" w:rsidP="00C7202B">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7F4385">
              <w:rPr>
                <w:rFonts w:ascii="Arial" w:hAnsi="Arial" w:cs="Arial"/>
                <w:color w:val="010000"/>
                <w:sz w:val="20"/>
              </w:rPr>
              <w:t>667</w:t>
            </w:r>
          </w:p>
        </w:tc>
      </w:tr>
      <w:tr w:rsidR="00CE0B52" w:rsidRPr="007F4385" w:rsidTr="007F4385">
        <w:tc>
          <w:tcPr>
            <w:tcW w:w="391" w:type="pct"/>
            <w:shd w:val="clear" w:color="auto" w:fill="auto"/>
            <w:tcMar>
              <w:top w:w="0" w:type="dxa"/>
              <w:bottom w:w="0" w:type="dxa"/>
            </w:tcMar>
            <w:vAlign w:val="center"/>
          </w:tcPr>
          <w:p w:rsidR="00CE0B52" w:rsidRPr="007F4385" w:rsidRDefault="007F4385" w:rsidP="00C7202B">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7F4385">
              <w:rPr>
                <w:rFonts w:ascii="Arial" w:hAnsi="Arial" w:cs="Arial"/>
                <w:color w:val="010000"/>
                <w:sz w:val="20"/>
              </w:rPr>
              <w:t>3</w:t>
            </w:r>
          </w:p>
        </w:tc>
        <w:tc>
          <w:tcPr>
            <w:tcW w:w="1371" w:type="pct"/>
            <w:shd w:val="clear" w:color="auto" w:fill="auto"/>
            <w:tcMar>
              <w:top w:w="0" w:type="dxa"/>
              <w:bottom w:w="0" w:type="dxa"/>
            </w:tcMar>
            <w:vAlign w:val="center"/>
          </w:tcPr>
          <w:p w:rsidR="00CE0B52" w:rsidRPr="007F4385" w:rsidRDefault="007F4385" w:rsidP="007F4385">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7F4385">
              <w:rPr>
                <w:rFonts w:ascii="Arial" w:hAnsi="Arial" w:cs="Arial"/>
                <w:color w:val="010000"/>
                <w:sz w:val="20"/>
              </w:rPr>
              <w:t>Profit before tax</w:t>
            </w:r>
          </w:p>
        </w:tc>
        <w:tc>
          <w:tcPr>
            <w:tcW w:w="1220" w:type="pct"/>
            <w:shd w:val="clear" w:color="auto" w:fill="auto"/>
            <w:tcMar>
              <w:top w:w="0" w:type="dxa"/>
              <w:bottom w:w="0" w:type="dxa"/>
            </w:tcMar>
            <w:vAlign w:val="center"/>
          </w:tcPr>
          <w:p w:rsidR="00CE0B52" w:rsidRPr="007F4385" w:rsidRDefault="007F4385" w:rsidP="00C7202B">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7F4385">
              <w:rPr>
                <w:rFonts w:ascii="Arial" w:hAnsi="Arial" w:cs="Arial"/>
                <w:color w:val="010000"/>
                <w:sz w:val="20"/>
              </w:rPr>
              <w:t>Billion VND</w:t>
            </w:r>
          </w:p>
        </w:tc>
        <w:tc>
          <w:tcPr>
            <w:tcW w:w="2018" w:type="pct"/>
            <w:shd w:val="clear" w:color="auto" w:fill="auto"/>
            <w:tcMar>
              <w:top w:w="0" w:type="dxa"/>
              <w:bottom w:w="0" w:type="dxa"/>
            </w:tcMar>
            <w:vAlign w:val="center"/>
          </w:tcPr>
          <w:p w:rsidR="00CE0B52" w:rsidRPr="007F4385" w:rsidRDefault="007F4385" w:rsidP="00C7202B">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7F4385">
              <w:rPr>
                <w:rFonts w:ascii="Arial" w:hAnsi="Arial" w:cs="Arial"/>
                <w:color w:val="010000"/>
                <w:sz w:val="20"/>
              </w:rPr>
              <w:t>6</w:t>
            </w:r>
          </w:p>
        </w:tc>
      </w:tr>
    </w:tbl>
    <w:p w:rsidR="00CE0B52" w:rsidRPr="007F4385" w:rsidRDefault="007F4385" w:rsidP="00CC37D7">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F4385">
        <w:rPr>
          <w:rFonts w:ascii="Arial" w:hAnsi="Arial" w:cs="Arial"/>
          <w:color w:val="010000"/>
          <w:sz w:val="20"/>
        </w:rPr>
        <w:t xml:space="preserve">Article 4: Approve the plan on profit distribution in 2023: No dividend payment in 2023 and profit </w:t>
      </w:r>
      <w:proofErr w:type="gramStart"/>
      <w:r w:rsidRPr="007F4385">
        <w:rPr>
          <w:rFonts w:ascii="Arial" w:hAnsi="Arial" w:cs="Arial"/>
          <w:color w:val="010000"/>
          <w:sz w:val="20"/>
        </w:rPr>
        <w:t>distribution</w:t>
      </w:r>
      <w:proofErr w:type="gramEnd"/>
      <w:r w:rsidRPr="007F4385">
        <w:rPr>
          <w:rFonts w:ascii="Arial" w:hAnsi="Arial" w:cs="Arial"/>
          <w:color w:val="010000"/>
          <w:sz w:val="20"/>
        </w:rPr>
        <w:t xml:space="preserve"> plan for 2024: No dividend payment expected in 2024.</w:t>
      </w:r>
    </w:p>
    <w:p w:rsidR="00CE0B52" w:rsidRPr="007F4385" w:rsidRDefault="007F4385" w:rsidP="00CC37D7">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F4385">
        <w:rPr>
          <w:rFonts w:ascii="Arial" w:hAnsi="Arial" w:cs="Arial"/>
          <w:color w:val="010000"/>
          <w:sz w:val="20"/>
        </w:rPr>
        <w:t>Article 5: Approve the Report on the settlement of remuneration for the Board of Directors in 2023, and the plan on remuneration payment of the Board of Directors in 2024.</w:t>
      </w:r>
    </w:p>
    <w:p w:rsidR="00CE0B52" w:rsidRPr="007F4385" w:rsidRDefault="007F4385" w:rsidP="00CC37D7">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F4385">
        <w:rPr>
          <w:rFonts w:ascii="Arial" w:hAnsi="Arial" w:cs="Arial"/>
          <w:color w:val="010000"/>
          <w:sz w:val="20"/>
        </w:rPr>
        <w:t>Remuneration payment for the Board of Directors in 2024:</w:t>
      </w:r>
    </w:p>
    <w:p w:rsidR="00CE0B52" w:rsidRPr="007F4385" w:rsidRDefault="007F4385" w:rsidP="00CC37D7">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F4385">
        <w:rPr>
          <w:rFonts w:ascii="Arial" w:hAnsi="Arial" w:cs="Arial"/>
          <w:color w:val="010000"/>
          <w:sz w:val="20"/>
        </w:rPr>
        <w:t>Remuneration of the Chair of the Board of Directors: VND8</w:t>
      </w:r>
      <w:proofErr w:type="gramStart"/>
      <w:r w:rsidRPr="007F4385">
        <w:rPr>
          <w:rFonts w:ascii="Arial" w:hAnsi="Arial" w:cs="Arial"/>
          <w:color w:val="010000"/>
          <w:sz w:val="20"/>
        </w:rPr>
        <w:t>,000,000</w:t>
      </w:r>
      <w:proofErr w:type="gramEnd"/>
      <w:r w:rsidRPr="007F4385">
        <w:rPr>
          <w:rFonts w:ascii="Arial" w:hAnsi="Arial" w:cs="Arial"/>
          <w:color w:val="010000"/>
          <w:sz w:val="20"/>
        </w:rPr>
        <w:t>/month</w:t>
      </w:r>
    </w:p>
    <w:p w:rsidR="00CE0B52" w:rsidRPr="007F4385" w:rsidRDefault="007F4385" w:rsidP="00CC37D7">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F4385">
        <w:rPr>
          <w:rFonts w:ascii="Arial" w:hAnsi="Arial" w:cs="Arial"/>
          <w:color w:val="010000"/>
          <w:sz w:val="20"/>
        </w:rPr>
        <w:t>Remuneration of members of the Board of Directors: VND5</w:t>
      </w:r>
      <w:proofErr w:type="gramStart"/>
      <w:r w:rsidRPr="007F4385">
        <w:rPr>
          <w:rFonts w:ascii="Arial" w:hAnsi="Arial" w:cs="Arial"/>
          <w:color w:val="010000"/>
          <w:sz w:val="20"/>
        </w:rPr>
        <w:t>,000,000</w:t>
      </w:r>
      <w:proofErr w:type="gramEnd"/>
      <w:r w:rsidRPr="007F4385">
        <w:rPr>
          <w:rFonts w:ascii="Arial" w:hAnsi="Arial" w:cs="Arial"/>
          <w:color w:val="010000"/>
          <w:sz w:val="20"/>
        </w:rPr>
        <w:t>/month.</w:t>
      </w:r>
    </w:p>
    <w:p w:rsidR="00CE0B52" w:rsidRPr="007F4385" w:rsidRDefault="007F4385" w:rsidP="00CC37D7">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F4385">
        <w:rPr>
          <w:rFonts w:ascii="Arial" w:hAnsi="Arial" w:cs="Arial"/>
          <w:color w:val="010000"/>
          <w:sz w:val="20"/>
        </w:rPr>
        <w:t>Article 6: Approve the assignment to the Board of Directors to select an audit company for the Company's Financial Statements 2024 from the list of audit companies approved by the Ministry of Finance to audit public companies listed on the Stock Exchange.</w:t>
      </w:r>
    </w:p>
    <w:p w:rsidR="00CE0B52" w:rsidRPr="007F4385" w:rsidRDefault="007F4385" w:rsidP="00CC37D7">
      <w:pPr>
        <w:numPr>
          <w:ilvl w:val="0"/>
          <w:numId w:val="1"/>
        </w:numPr>
        <w:pBdr>
          <w:top w:val="nil"/>
          <w:left w:val="nil"/>
          <w:bottom w:val="nil"/>
          <w:right w:val="nil"/>
          <w:between w:val="nil"/>
        </w:pBdr>
        <w:tabs>
          <w:tab w:val="left" w:pos="432"/>
          <w:tab w:val="left" w:pos="1412"/>
        </w:tabs>
        <w:spacing w:after="120" w:line="360" w:lineRule="auto"/>
        <w:jc w:val="both"/>
        <w:rPr>
          <w:rFonts w:ascii="Arial" w:eastAsia="Arial" w:hAnsi="Arial" w:cs="Arial"/>
          <w:color w:val="010000"/>
          <w:sz w:val="20"/>
          <w:szCs w:val="20"/>
        </w:rPr>
      </w:pPr>
      <w:r w:rsidRPr="007F4385">
        <w:rPr>
          <w:rFonts w:ascii="Arial" w:hAnsi="Arial" w:cs="Arial"/>
          <w:color w:val="010000"/>
          <w:sz w:val="20"/>
        </w:rPr>
        <w:t>KPMG Limited</w:t>
      </w:r>
    </w:p>
    <w:p w:rsidR="00CE0B52" w:rsidRPr="007F4385" w:rsidRDefault="007F4385" w:rsidP="00CC37D7">
      <w:pPr>
        <w:numPr>
          <w:ilvl w:val="0"/>
          <w:numId w:val="1"/>
        </w:numPr>
        <w:pBdr>
          <w:top w:val="nil"/>
          <w:left w:val="nil"/>
          <w:bottom w:val="nil"/>
          <w:right w:val="nil"/>
          <w:between w:val="nil"/>
        </w:pBdr>
        <w:tabs>
          <w:tab w:val="left" w:pos="432"/>
          <w:tab w:val="left" w:pos="1429"/>
        </w:tabs>
        <w:spacing w:after="120" w:line="360" w:lineRule="auto"/>
        <w:jc w:val="both"/>
        <w:rPr>
          <w:rFonts w:ascii="Arial" w:eastAsia="Arial" w:hAnsi="Arial" w:cs="Arial"/>
          <w:color w:val="010000"/>
          <w:sz w:val="20"/>
          <w:szCs w:val="20"/>
        </w:rPr>
      </w:pPr>
      <w:r w:rsidRPr="007F4385">
        <w:rPr>
          <w:rFonts w:ascii="Arial" w:hAnsi="Arial" w:cs="Arial"/>
          <w:color w:val="010000"/>
          <w:sz w:val="20"/>
        </w:rPr>
        <w:t>A&amp;C Auditing and Consulting Company Limited</w:t>
      </w:r>
    </w:p>
    <w:p w:rsidR="00CE0B52" w:rsidRPr="007F4385" w:rsidRDefault="007F4385" w:rsidP="00CC37D7">
      <w:pPr>
        <w:numPr>
          <w:ilvl w:val="0"/>
          <w:numId w:val="1"/>
        </w:numPr>
        <w:pBdr>
          <w:top w:val="nil"/>
          <w:left w:val="nil"/>
          <w:bottom w:val="nil"/>
          <w:right w:val="nil"/>
          <w:between w:val="nil"/>
        </w:pBdr>
        <w:tabs>
          <w:tab w:val="left" w:pos="432"/>
          <w:tab w:val="left" w:pos="1429"/>
        </w:tabs>
        <w:spacing w:after="120" w:line="360" w:lineRule="auto"/>
        <w:jc w:val="both"/>
        <w:rPr>
          <w:rFonts w:ascii="Arial" w:eastAsia="Arial" w:hAnsi="Arial" w:cs="Arial"/>
          <w:color w:val="010000"/>
          <w:sz w:val="20"/>
          <w:szCs w:val="20"/>
        </w:rPr>
      </w:pPr>
      <w:r w:rsidRPr="007F4385">
        <w:rPr>
          <w:rFonts w:ascii="Arial" w:hAnsi="Arial" w:cs="Arial"/>
          <w:color w:val="010000"/>
          <w:sz w:val="20"/>
        </w:rPr>
        <w:t>Vietnam Auditing and Valuation Company Limited (AVA)</w:t>
      </w:r>
    </w:p>
    <w:p w:rsidR="00CE0B52" w:rsidRPr="007F4385" w:rsidRDefault="007F4385" w:rsidP="00CC37D7">
      <w:pPr>
        <w:numPr>
          <w:ilvl w:val="0"/>
          <w:numId w:val="1"/>
        </w:numPr>
        <w:pBdr>
          <w:top w:val="nil"/>
          <w:left w:val="nil"/>
          <w:bottom w:val="nil"/>
          <w:right w:val="nil"/>
          <w:between w:val="nil"/>
        </w:pBdr>
        <w:tabs>
          <w:tab w:val="left" w:pos="432"/>
          <w:tab w:val="left" w:pos="1429"/>
        </w:tabs>
        <w:spacing w:after="120" w:line="360" w:lineRule="auto"/>
        <w:jc w:val="both"/>
        <w:rPr>
          <w:rFonts w:ascii="Arial" w:eastAsia="Arial" w:hAnsi="Arial" w:cs="Arial"/>
          <w:color w:val="010000"/>
          <w:sz w:val="20"/>
          <w:szCs w:val="20"/>
        </w:rPr>
      </w:pPr>
      <w:r w:rsidRPr="007F4385">
        <w:rPr>
          <w:rFonts w:ascii="Arial" w:hAnsi="Arial" w:cs="Arial"/>
          <w:color w:val="010000"/>
          <w:sz w:val="20"/>
        </w:rPr>
        <w:t>AASC Auditing Firm Company Limited</w:t>
      </w:r>
    </w:p>
    <w:p w:rsidR="00CE0B52" w:rsidRPr="007F4385" w:rsidRDefault="007F4385" w:rsidP="00CC37D7">
      <w:pPr>
        <w:numPr>
          <w:ilvl w:val="0"/>
          <w:numId w:val="1"/>
        </w:numPr>
        <w:pBdr>
          <w:top w:val="nil"/>
          <w:left w:val="nil"/>
          <w:bottom w:val="nil"/>
          <w:right w:val="nil"/>
          <w:between w:val="nil"/>
        </w:pBdr>
        <w:tabs>
          <w:tab w:val="left" w:pos="432"/>
          <w:tab w:val="left" w:pos="1429"/>
        </w:tabs>
        <w:spacing w:after="120" w:line="360" w:lineRule="auto"/>
        <w:jc w:val="both"/>
        <w:rPr>
          <w:rFonts w:ascii="Arial" w:eastAsia="Arial" w:hAnsi="Arial" w:cs="Arial"/>
          <w:color w:val="010000"/>
          <w:sz w:val="20"/>
          <w:szCs w:val="20"/>
        </w:rPr>
      </w:pPr>
      <w:r w:rsidRPr="007F4385">
        <w:rPr>
          <w:rFonts w:ascii="Arial" w:hAnsi="Arial" w:cs="Arial"/>
          <w:color w:val="010000"/>
          <w:sz w:val="20"/>
        </w:rPr>
        <w:t>Grant Thornton (Vietnam) Limited</w:t>
      </w:r>
    </w:p>
    <w:p w:rsidR="00CE0B52" w:rsidRPr="007F4385" w:rsidRDefault="007F4385" w:rsidP="00CC37D7">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F4385">
        <w:rPr>
          <w:rFonts w:ascii="Arial" w:hAnsi="Arial" w:cs="Arial"/>
          <w:color w:val="010000"/>
          <w:sz w:val="20"/>
        </w:rPr>
        <w:lastRenderedPageBreak/>
        <w:t>In case the list of approved audit companies in 2024 announced by the State Securities Commission does not include the above companies, the General Meeting of Shareholders authorized the Board of Directors to select another suitable audit company.</w:t>
      </w:r>
    </w:p>
    <w:p w:rsidR="00CE0B52" w:rsidRPr="007F4385" w:rsidRDefault="007F4385" w:rsidP="00CC37D7">
      <w:pPr>
        <w:keepNext/>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F4385">
        <w:rPr>
          <w:rFonts w:ascii="Arial" w:hAnsi="Arial" w:cs="Arial"/>
          <w:color w:val="010000"/>
          <w:sz w:val="20"/>
        </w:rPr>
        <w:t>Article 7: Terms of enforcement:</w:t>
      </w:r>
    </w:p>
    <w:p w:rsidR="00CE0B52" w:rsidRPr="007F4385" w:rsidRDefault="007F4385" w:rsidP="00CC37D7">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F4385">
        <w:rPr>
          <w:rFonts w:ascii="Arial" w:hAnsi="Arial" w:cs="Arial"/>
          <w:color w:val="010000"/>
          <w:sz w:val="20"/>
        </w:rPr>
        <w:t>The full text of this General Mandate was approved by the General Meeting of Shareholders of Duc Quan Investment and Development Joint Stock Company at 5:00 p.m. on July 26, 2024, and takes effect immediately after the end of the Meeting.</w:t>
      </w:r>
    </w:p>
    <w:p w:rsidR="00CE0B52" w:rsidRPr="007F4385" w:rsidRDefault="007F4385" w:rsidP="00CC37D7">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F4385">
        <w:rPr>
          <w:rFonts w:ascii="Arial" w:hAnsi="Arial" w:cs="Arial"/>
          <w:color w:val="010000"/>
          <w:sz w:val="20"/>
        </w:rPr>
        <w:t>Members of the Board of Directors, the Board of Management, shareholders, affiliated departments and divisions of the Company are responsible for implementing this General Mandate./.</w:t>
      </w:r>
    </w:p>
    <w:sectPr w:rsidR="00CE0B52" w:rsidRPr="007F4385" w:rsidSect="007F4385">
      <w:pgSz w:w="11907" w:h="16839"/>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Display">
    <w:panose1 w:val="00000000000000000000"/>
    <w:charset w:val="00"/>
    <w:family w:val="roman"/>
    <w:notTrueType/>
    <w:pitch w:val="default"/>
  </w:font>
  <w:font w:name="Aptos">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29024B"/>
    <w:multiLevelType w:val="multilevel"/>
    <w:tmpl w:val="64CC730C"/>
    <w:lvl w:ilvl="0">
      <w:start w:val="1"/>
      <w:numFmt w:val="decimal"/>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B52"/>
    <w:rsid w:val="007F4385"/>
    <w:rsid w:val="00C7202B"/>
    <w:rsid w:val="00CC37D7"/>
    <w:rsid w:val="00CE0B52"/>
    <w:rsid w:val="00F516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0"/>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u w:val="none"/>
      <w:shd w:val="clear" w:color="auto" w:fill="auto"/>
    </w:rPr>
  </w:style>
  <w:style w:type="character" w:customStyle="1" w:styleId="Vnbnnidung4">
    <w:name w:val="Văn bản nội dung (4)_"/>
    <w:basedOn w:val="DefaultParagraphFont"/>
    <w:link w:val="Vnbnnidung40"/>
    <w:rPr>
      <w:rFonts w:ascii="Arial" w:eastAsia="Arial" w:hAnsi="Arial" w:cs="Arial"/>
      <w:b w:val="0"/>
      <w:bCs w:val="0"/>
      <w:i w:val="0"/>
      <w:iCs w:val="0"/>
      <w:smallCaps w:val="0"/>
      <w:strike w:val="0"/>
      <w:color w:val="C61A40"/>
      <w:sz w:val="19"/>
      <w:szCs w:val="19"/>
      <w:u w:val="none"/>
      <w:shd w:val="clear" w:color="auto" w:fill="auto"/>
    </w:rPr>
  </w:style>
  <w:style w:type="character" w:customStyle="1" w:styleId="Vnbnnidung3">
    <w:name w:val="Văn bản nội dung (3)_"/>
    <w:basedOn w:val="DefaultParagraphFont"/>
    <w:link w:val="Vnbnnidung30"/>
    <w:rPr>
      <w:rFonts w:ascii="Arial" w:eastAsia="Arial" w:hAnsi="Arial" w:cs="Arial"/>
      <w:b w:val="0"/>
      <w:bCs w:val="0"/>
      <w:i w:val="0"/>
      <w:iCs w:val="0"/>
      <w:smallCaps w:val="0"/>
      <w:strike w:val="0"/>
      <w:color w:val="C61A40"/>
      <w:sz w:val="15"/>
      <w:szCs w:val="15"/>
      <w:u w:val="none"/>
      <w:shd w:val="clear" w:color="auto" w:fill="auto"/>
    </w:rPr>
  </w:style>
  <w:style w:type="character" w:customStyle="1" w:styleId="Vnbnnidung2">
    <w:name w:val="Văn bản nội dung (2)_"/>
    <w:basedOn w:val="DefaultParagraphFont"/>
    <w:link w:val="Vnbnnidung20"/>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Tiu1">
    <w:name w:val="Tiêu đề #1_"/>
    <w:basedOn w:val="DefaultParagraphFont"/>
    <w:link w:val="Tiu10"/>
    <w:rPr>
      <w:rFonts w:ascii="Times New Roman" w:eastAsia="Times New Roman" w:hAnsi="Times New Roman" w:cs="Times New Roman"/>
      <w:b/>
      <w:bCs/>
      <w:i w:val="0"/>
      <w:iCs w:val="0"/>
      <w:smallCaps w:val="0"/>
      <w:strike w:val="0"/>
      <w:u w:val="none"/>
      <w:shd w:val="clear" w:color="auto" w:fill="auto"/>
    </w:rPr>
  </w:style>
  <w:style w:type="character" w:customStyle="1" w:styleId="Chthchbng">
    <w:name w:val="Chú thích bảng_"/>
    <w:basedOn w:val="DefaultParagraphFont"/>
    <w:link w:val="Chthchbng0"/>
    <w:rPr>
      <w:rFonts w:ascii="Times New Roman" w:eastAsia="Times New Roman" w:hAnsi="Times New Roman" w:cs="Times New Roman"/>
      <w:b w:val="0"/>
      <w:bCs w:val="0"/>
      <w:i w:val="0"/>
      <w:iCs w:val="0"/>
      <w:smallCaps w:val="0"/>
      <w:strike w:val="0"/>
      <w:u w:val="none"/>
      <w:shd w:val="clear" w:color="auto" w:fill="auto"/>
    </w:rPr>
  </w:style>
  <w:style w:type="character" w:customStyle="1" w:styleId="Khc">
    <w:name w:val="Khác_"/>
    <w:basedOn w:val="DefaultParagraphFont"/>
    <w:link w:val="Khc0"/>
    <w:rPr>
      <w:rFonts w:ascii="Times New Roman" w:eastAsia="Times New Roman" w:hAnsi="Times New Roman" w:cs="Times New Roman"/>
      <w:b w:val="0"/>
      <w:bCs w:val="0"/>
      <w:i w:val="0"/>
      <w:iCs w:val="0"/>
      <w:smallCaps w:val="0"/>
      <w:strike w:val="0"/>
      <w:u w:val="none"/>
      <w:shd w:val="clear" w:color="auto" w:fill="auto"/>
    </w:rPr>
  </w:style>
  <w:style w:type="paragraph" w:customStyle="1" w:styleId="Vnbnnidung0">
    <w:name w:val="Văn bản nội dung"/>
    <w:basedOn w:val="Normal"/>
    <w:link w:val="Vnbnnidung"/>
    <w:pPr>
      <w:spacing w:line="276" w:lineRule="auto"/>
    </w:pPr>
    <w:rPr>
      <w:rFonts w:ascii="Times New Roman" w:eastAsia="Times New Roman" w:hAnsi="Times New Roman" w:cs="Times New Roman"/>
    </w:rPr>
  </w:style>
  <w:style w:type="paragraph" w:customStyle="1" w:styleId="Vnbnnidung40">
    <w:name w:val="Văn bản nội dung (4)"/>
    <w:basedOn w:val="Normal"/>
    <w:link w:val="Vnbnnidung4"/>
    <w:pPr>
      <w:spacing w:line="216" w:lineRule="auto"/>
    </w:pPr>
    <w:rPr>
      <w:rFonts w:ascii="Arial" w:eastAsia="Arial" w:hAnsi="Arial" w:cs="Arial"/>
      <w:color w:val="C61A40"/>
      <w:sz w:val="19"/>
      <w:szCs w:val="19"/>
    </w:rPr>
  </w:style>
  <w:style w:type="paragraph" w:customStyle="1" w:styleId="Vnbnnidung30">
    <w:name w:val="Văn bản nội dung (3)"/>
    <w:basedOn w:val="Normal"/>
    <w:link w:val="Vnbnnidung3"/>
    <w:pPr>
      <w:spacing w:line="302" w:lineRule="auto"/>
      <w:jc w:val="right"/>
    </w:pPr>
    <w:rPr>
      <w:rFonts w:ascii="Arial" w:eastAsia="Arial" w:hAnsi="Arial" w:cs="Arial"/>
      <w:color w:val="C61A40"/>
      <w:sz w:val="15"/>
      <w:szCs w:val="15"/>
    </w:rPr>
  </w:style>
  <w:style w:type="paragraph" w:customStyle="1" w:styleId="Vnbnnidung20">
    <w:name w:val="Văn bản nội dung (2)"/>
    <w:basedOn w:val="Normal"/>
    <w:link w:val="Vnbnnidung2"/>
    <w:pPr>
      <w:jc w:val="center"/>
    </w:pPr>
    <w:rPr>
      <w:rFonts w:ascii="Times New Roman" w:eastAsia="Times New Roman" w:hAnsi="Times New Roman" w:cs="Times New Roman"/>
      <w:b/>
      <w:bCs/>
      <w:sz w:val="28"/>
      <w:szCs w:val="28"/>
    </w:rPr>
  </w:style>
  <w:style w:type="paragraph" w:customStyle="1" w:styleId="Tiu10">
    <w:name w:val="Tiêu đề #1"/>
    <w:basedOn w:val="Normal"/>
    <w:link w:val="Tiu1"/>
    <w:pPr>
      <w:spacing w:line="334" w:lineRule="auto"/>
      <w:outlineLvl w:val="0"/>
    </w:pPr>
    <w:rPr>
      <w:rFonts w:ascii="Times New Roman" w:eastAsia="Times New Roman" w:hAnsi="Times New Roman" w:cs="Times New Roman"/>
      <w:b/>
      <w:bCs/>
    </w:rPr>
  </w:style>
  <w:style w:type="paragraph" w:customStyle="1" w:styleId="Chthchbng0">
    <w:name w:val="Chú thích bảng"/>
    <w:basedOn w:val="Normal"/>
    <w:link w:val="Chthchbng"/>
    <w:rPr>
      <w:rFonts w:ascii="Times New Roman" w:eastAsia="Times New Roman" w:hAnsi="Times New Roman" w:cs="Times New Roman"/>
    </w:rPr>
  </w:style>
  <w:style w:type="paragraph" w:customStyle="1" w:styleId="Khc0">
    <w:name w:val="Khác"/>
    <w:basedOn w:val="Normal"/>
    <w:link w:val="Khc"/>
    <w:pPr>
      <w:spacing w:line="276" w:lineRule="auto"/>
    </w:pPr>
    <w:rPr>
      <w:rFonts w:ascii="Times New Roman" w:eastAsia="Times New Roman" w:hAnsi="Times New Roman" w:cs="Times New Roman"/>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bottom w:w="0" w:type="dxa"/>
      </w:tblCellMar>
    </w:tblPr>
  </w:style>
  <w:style w:type="table" w:customStyle="1" w:styleId="a0">
    <w:basedOn w:val="TableNormal"/>
    <w:tblPr>
      <w:tblStyleRowBandSize w:val="1"/>
      <w:tblStyleColBandSize w:val="1"/>
      <w:tblInd w:w="0" w:type="dxa"/>
      <w:tblCellMar>
        <w:top w:w="0" w:type="dxa"/>
        <w:bottom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0"/>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u w:val="none"/>
      <w:shd w:val="clear" w:color="auto" w:fill="auto"/>
    </w:rPr>
  </w:style>
  <w:style w:type="character" w:customStyle="1" w:styleId="Vnbnnidung4">
    <w:name w:val="Văn bản nội dung (4)_"/>
    <w:basedOn w:val="DefaultParagraphFont"/>
    <w:link w:val="Vnbnnidung40"/>
    <w:rPr>
      <w:rFonts w:ascii="Arial" w:eastAsia="Arial" w:hAnsi="Arial" w:cs="Arial"/>
      <w:b w:val="0"/>
      <w:bCs w:val="0"/>
      <w:i w:val="0"/>
      <w:iCs w:val="0"/>
      <w:smallCaps w:val="0"/>
      <w:strike w:val="0"/>
      <w:color w:val="C61A40"/>
      <w:sz w:val="19"/>
      <w:szCs w:val="19"/>
      <w:u w:val="none"/>
      <w:shd w:val="clear" w:color="auto" w:fill="auto"/>
    </w:rPr>
  </w:style>
  <w:style w:type="character" w:customStyle="1" w:styleId="Vnbnnidung3">
    <w:name w:val="Văn bản nội dung (3)_"/>
    <w:basedOn w:val="DefaultParagraphFont"/>
    <w:link w:val="Vnbnnidung30"/>
    <w:rPr>
      <w:rFonts w:ascii="Arial" w:eastAsia="Arial" w:hAnsi="Arial" w:cs="Arial"/>
      <w:b w:val="0"/>
      <w:bCs w:val="0"/>
      <w:i w:val="0"/>
      <w:iCs w:val="0"/>
      <w:smallCaps w:val="0"/>
      <w:strike w:val="0"/>
      <w:color w:val="C61A40"/>
      <w:sz w:val="15"/>
      <w:szCs w:val="15"/>
      <w:u w:val="none"/>
      <w:shd w:val="clear" w:color="auto" w:fill="auto"/>
    </w:rPr>
  </w:style>
  <w:style w:type="character" w:customStyle="1" w:styleId="Vnbnnidung2">
    <w:name w:val="Văn bản nội dung (2)_"/>
    <w:basedOn w:val="DefaultParagraphFont"/>
    <w:link w:val="Vnbnnidung20"/>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Tiu1">
    <w:name w:val="Tiêu đề #1_"/>
    <w:basedOn w:val="DefaultParagraphFont"/>
    <w:link w:val="Tiu10"/>
    <w:rPr>
      <w:rFonts w:ascii="Times New Roman" w:eastAsia="Times New Roman" w:hAnsi="Times New Roman" w:cs="Times New Roman"/>
      <w:b/>
      <w:bCs/>
      <w:i w:val="0"/>
      <w:iCs w:val="0"/>
      <w:smallCaps w:val="0"/>
      <w:strike w:val="0"/>
      <w:u w:val="none"/>
      <w:shd w:val="clear" w:color="auto" w:fill="auto"/>
    </w:rPr>
  </w:style>
  <w:style w:type="character" w:customStyle="1" w:styleId="Chthchbng">
    <w:name w:val="Chú thích bảng_"/>
    <w:basedOn w:val="DefaultParagraphFont"/>
    <w:link w:val="Chthchbng0"/>
    <w:rPr>
      <w:rFonts w:ascii="Times New Roman" w:eastAsia="Times New Roman" w:hAnsi="Times New Roman" w:cs="Times New Roman"/>
      <w:b w:val="0"/>
      <w:bCs w:val="0"/>
      <w:i w:val="0"/>
      <w:iCs w:val="0"/>
      <w:smallCaps w:val="0"/>
      <w:strike w:val="0"/>
      <w:u w:val="none"/>
      <w:shd w:val="clear" w:color="auto" w:fill="auto"/>
    </w:rPr>
  </w:style>
  <w:style w:type="character" w:customStyle="1" w:styleId="Khc">
    <w:name w:val="Khác_"/>
    <w:basedOn w:val="DefaultParagraphFont"/>
    <w:link w:val="Khc0"/>
    <w:rPr>
      <w:rFonts w:ascii="Times New Roman" w:eastAsia="Times New Roman" w:hAnsi="Times New Roman" w:cs="Times New Roman"/>
      <w:b w:val="0"/>
      <w:bCs w:val="0"/>
      <w:i w:val="0"/>
      <w:iCs w:val="0"/>
      <w:smallCaps w:val="0"/>
      <w:strike w:val="0"/>
      <w:u w:val="none"/>
      <w:shd w:val="clear" w:color="auto" w:fill="auto"/>
    </w:rPr>
  </w:style>
  <w:style w:type="paragraph" w:customStyle="1" w:styleId="Vnbnnidung0">
    <w:name w:val="Văn bản nội dung"/>
    <w:basedOn w:val="Normal"/>
    <w:link w:val="Vnbnnidung"/>
    <w:pPr>
      <w:spacing w:line="276" w:lineRule="auto"/>
    </w:pPr>
    <w:rPr>
      <w:rFonts w:ascii="Times New Roman" w:eastAsia="Times New Roman" w:hAnsi="Times New Roman" w:cs="Times New Roman"/>
    </w:rPr>
  </w:style>
  <w:style w:type="paragraph" w:customStyle="1" w:styleId="Vnbnnidung40">
    <w:name w:val="Văn bản nội dung (4)"/>
    <w:basedOn w:val="Normal"/>
    <w:link w:val="Vnbnnidung4"/>
    <w:pPr>
      <w:spacing w:line="216" w:lineRule="auto"/>
    </w:pPr>
    <w:rPr>
      <w:rFonts w:ascii="Arial" w:eastAsia="Arial" w:hAnsi="Arial" w:cs="Arial"/>
      <w:color w:val="C61A40"/>
      <w:sz w:val="19"/>
      <w:szCs w:val="19"/>
    </w:rPr>
  </w:style>
  <w:style w:type="paragraph" w:customStyle="1" w:styleId="Vnbnnidung30">
    <w:name w:val="Văn bản nội dung (3)"/>
    <w:basedOn w:val="Normal"/>
    <w:link w:val="Vnbnnidung3"/>
    <w:pPr>
      <w:spacing w:line="302" w:lineRule="auto"/>
      <w:jc w:val="right"/>
    </w:pPr>
    <w:rPr>
      <w:rFonts w:ascii="Arial" w:eastAsia="Arial" w:hAnsi="Arial" w:cs="Arial"/>
      <w:color w:val="C61A40"/>
      <w:sz w:val="15"/>
      <w:szCs w:val="15"/>
    </w:rPr>
  </w:style>
  <w:style w:type="paragraph" w:customStyle="1" w:styleId="Vnbnnidung20">
    <w:name w:val="Văn bản nội dung (2)"/>
    <w:basedOn w:val="Normal"/>
    <w:link w:val="Vnbnnidung2"/>
    <w:pPr>
      <w:jc w:val="center"/>
    </w:pPr>
    <w:rPr>
      <w:rFonts w:ascii="Times New Roman" w:eastAsia="Times New Roman" w:hAnsi="Times New Roman" w:cs="Times New Roman"/>
      <w:b/>
      <w:bCs/>
      <w:sz w:val="28"/>
      <w:szCs w:val="28"/>
    </w:rPr>
  </w:style>
  <w:style w:type="paragraph" w:customStyle="1" w:styleId="Tiu10">
    <w:name w:val="Tiêu đề #1"/>
    <w:basedOn w:val="Normal"/>
    <w:link w:val="Tiu1"/>
    <w:pPr>
      <w:spacing w:line="334" w:lineRule="auto"/>
      <w:outlineLvl w:val="0"/>
    </w:pPr>
    <w:rPr>
      <w:rFonts w:ascii="Times New Roman" w:eastAsia="Times New Roman" w:hAnsi="Times New Roman" w:cs="Times New Roman"/>
      <w:b/>
      <w:bCs/>
    </w:rPr>
  </w:style>
  <w:style w:type="paragraph" w:customStyle="1" w:styleId="Chthchbng0">
    <w:name w:val="Chú thích bảng"/>
    <w:basedOn w:val="Normal"/>
    <w:link w:val="Chthchbng"/>
    <w:rPr>
      <w:rFonts w:ascii="Times New Roman" w:eastAsia="Times New Roman" w:hAnsi="Times New Roman" w:cs="Times New Roman"/>
    </w:rPr>
  </w:style>
  <w:style w:type="paragraph" w:customStyle="1" w:styleId="Khc0">
    <w:name w:val="Khác"/>
    <w:basedOn w:val="Normal"/>
    <w:link w:val="Khc"/>
    <w:pPr>
      <w:spacing w:line="276" w:lineRule="auto"/>
    </w:pPr>
    <w:rPr>
      <w:rFonts w:ascii="Times New Roman" w:eastAsia="Times New Roman" w:hAnsi="Times New Roman" w:cs="Times New Roman"/>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bottom w:w="0" w:type="dxa"/>
      </w:tblCellMar>
    </w:tblPr>
  </w:style>
  <w:style w:type="table" w:customStyle="1" w:styleId="a0">
    <w:basedOn w:val="TableNormal"/>
    <w:tblPr>
      <w:tblStyleRowBandSize w:val="1"/>
      <w:tblStyleColBandSize w:val="1"/>
      <w:tblInd w:w="0" w:type="dxa"/>
      <w:tblCellMar>
        <w:top w:w="0" w:type="dxa"/>
        <w:bottom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xa7U2bixNqrvET3f04vNg1n4dA==">CgMxLjA4AHIhMW0yUUdWNERHbWJOcnd2OE9tOHF6cHFJdjBUUVdMRm5s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380</Words>
  <Characters>2171</Characters>
  <Application>Microsoft Office Word</Application>
  <DocSecurity>0</DocSecurity>
  <Lines>18</Lines>
  <Paragraphs>5</Paragraphs>
  <ScaleCrop>false</ScaleCrop>
  <Company>Microsoft</Company>
  <LinksUpToDate>false</LinksUpToDate>
  <CharactersWithSpaces>2546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Tran Ha Anh</cp:lastModifiedBy>
  <cp:revision>6</cp:revision>
  <dcterms:created xsi:type="dcterms:W3CDTF">2024-07-30T03:39:00Z</dcterms:created>
  <dcterms:modified xsi:type="dcterms:W3CDTF">2024-08-01T02:39:00Z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c37947ad242a8fba6a955227fc2a57b640094e287f5ffe00e881797ff0b5f7f2</vt:lpwstr>
  </property>
</Properties>
</file>