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ED" w:rsidRPr="00FE1BC3" w:rsidRDefault="00FE1BC3" w:rsidP="00CA126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E1BC3">
        <w:rPr>
          <w:rFonts w:ascii="Arial" w:hAnsi="Arial" w:cs="Arial"/>
          <w:b/>
          <w:color w:val="010000"/>
          <w:sz w:val="20"/>
        </w:rPr>
        <w:t>TOT: Board Resolution</w:t>
      </w:r>
    </w:p>
    <w:p w:rsidR="00C66FED" w:rsidRPr="00FE1BC3" w:rsidRDefault="00FE1BC3" w:rsidP="00CA126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On July 18, 2024,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 announced Resolution No. 13/2024/NQ. HDQT-TMS LOGS as follows: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>‎‎Article 1. Approve the Report on the financial and investment activities situation in the first 6 months of 2024.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‎‎Article 2. Approve the Report on the investment situation of projects in the first 6 months of 2024 and the plan for the last 6 months of 2024. 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Article 3. Approve the selection of Ernst &amp; Young Vietnam Limited as the audit company for the Financial Statements 2024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Corporation.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>The Board of Directors authorized the Chair of</w:t>
      </w:r>
      <w:r w:rsidR="00CA126A">
        <w:rPr>
          <w:rFonts w:ascii="Arial" w:hAnsi="Arial" w:cs="Arial"/>
          <w:color w:val="010000"/>
          <w:sz w:val="20"/>
        </w:rPr>
        <w:t xml:space="preserve"> the Board of Directors-cum-</w:t>
      </w:r>
      <w:r w:rsidRPr="00FE1BC3">
        <w:rPr>
          <w:rFonts w:ascii="Arial" w:hAnsi="Arial" w:cs="Arial"/>
          <w:color w:val="010000"/>
          <w:sz w:val="20"/>
        </w:rPr>
        <w:t xml:space="preserve">Legal Representative to sign a services contract with Ernst &amp; Young Vietnam Limited and other affiliated dossiers, documents for reviewing and auditing the Financial Statements 2024, direct affiliated departments/divisions to corporate implementing the contract, report auditing results for the Board of Directors and the General Meeting of Shareholders in accordance with legal regulations and the Company’s regulations. 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‎‎Article 4. Approve on agreement of contracts, transactions between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 and affiliated persons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following regulations at Term 1, 2, Article 167 of Law on Enterprises 2020 and the Charter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Corporation.</w:t>
      </w:r>
    </w:p>
    <w:p w:rsidR="00C66FED" w:rsidRPr="00FE1BC3" w:rsidRDefault="00FE1BC3" w:rsidP="00CA126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 Information about related transactions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2039"/>
        <w:gridCol w:w="2312"/>
        <w:gridCol w:w="4128"/>
      </w:tblGrid>
      <w:tr w:rsidR="00C66FED" w:rsidRPr="00FE1BC3" w:rsidTr="00FE1BC3">
        <w:tc>
          <w:tcPr>
            <w:tcW w:w="2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1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>Transaction partner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>Relations</w:t>
            </w:r>
          </w:p>
        </w:tc>
        <w:tc>
          <w:tcPr>
            <w:tcW w:w="228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>Main contents of the transaction</w:t>
            </w:r>
          </w:p>
        </w:tc>
      </w:tr>
      <w:tr w:rsidR="00C66FED" w:rsidRPr="00FE1BC3" w:rsidTr="00FE1BC3">
        <w:tc>
          <w:tcPr>
            <w:tcW w:w="2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FE1BC3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>Special Aquatic Products JSC</w:t>
            </w:r>
          </w:p>
        </w:tc>
        <w:tc>
          <w:tcPr>
            <w:tcW w:w="12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48570B" w:rsidP="00C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Related party</w:t>
            </w:r>
            <w:r w:rsidR="00FE1BC3" w:rsidRPr="00FE1BC3">
              <w:rPr>
                <w:rFonts w:ascii="Arial" w:hAnsi="Arial" w:cs="Arial"/>
                <w:color w:val="010000"/>
                <w:sz w:val="20"/>
              </w:rPr>
              <w:t xml:space="preserve"> of the Chief of the Supervisory Board</w:t>
            </w:r>
          </w:p>
        </w:tc>
        <w:tc>
          <w:tcPr>
            <w:tcW w:w="228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66FED" w:rsidRPr="00FE1BC3" w:rsidRDefault="0048570B" w:rsidP="00CA1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Related party</w:t>
            </w:r>
            <w:bookmarkStart w:id="0" w:name="_GoBack"/>
            <w:bookmarkEnd w:id="0"/>
            <w:r w:rsidR="00FE1BC3" w:rsidRPr="00FE1BC3">
              <w:rPr>
                <w:rFonts w:ascii="Arial" w:hAnsi="Arial" w:cs="Arial"/>
                <w:color w:val="010000"/>
                <w:sz w:val="20"/>
              </w:rPr>
              <w:t xml:space="preserve"> to supply logistics services, use logistics services; </w:t>
            </w:r>
          </w:p>
          <w:p w:rsidR="00C66FED" w:rsidRPr="00FE1BC3" w:rsidRDefault="00FE1BC3" w:rsidP="00CA1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1BC3">
              <w:rPr>
                <w:rFonts w:ascii="Arial" w:hAnsi="Arial" w:cs="Arial"/>
                <w:color w:val="010000"/>
                <w:sz w:val="20"/>
              </w:rPr>
              <w:t xml:space="preserve">Transaction value: The value of the Contract, transaction is less than 35% of the total value of assets in the most recent Financial Statements of the Company. </w:t>
            </w:r>
          </w:p>
        </w:tc>
      </w:tr>
    </w:tbl>
    <w:p w:rsidR="00C66FED" w:rsidRPr="00FE1BC3" w:rsidRDefault="00FE1BC3" w:rsidP="00CA126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 The Board of Directors authorized the Chair of the Board of Directors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 to decide specific terms, conditions of the Contract; direct the Manager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 to implement all procedures, documents related to the signing and implementation of the above-mentioned transaction in accordance with contents approved by the Board of Directors and ensuring the Company’s interests. 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‎‎Article 5. Approve the adjustment of the number of Containers and the liquidation time for 48 Container tractors approved in Resolution No. 20/NQ.HDQT-TMS LOGS dated November 17, 2023, of </w:t>
      </w:r>
      <w:proofErr w:type="spellStart"/>
      <w:r w:rsidRPr="00FE1BC3">
        <w:rPr>
          <w:rFonts w:ascii="Arial" w:hAnsi="Arial" w:cs="Arial"/>
          <w:color w:val="010000"/>
          <w:sz w:val="20"/>
        </w:rPr>
        <w:t>Transimex</w:t>
      </w:r>
      <w:proofErr w:type="spellEnd"/>
      <w:r w:rsidRPr="00FE1BC3">
        <w:rPr>
          <w:rFonts w:ascii="Arial" w:hAnsi="Arial" w:cs="Arial"/>
          <w:color w:val="010000"/>
          <w:sz w:val="20"/>
        </w:rPr>
        <w:t xml:space="preserve"> Logistics Corporation.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>‎‎Article 6. Terms of enforcement</w:t>
      </w:r>
    </w:p>
    <w:p w:rsidR="00C66FED" w:rsidRPr="00FE1BC3" w:rsidRDefault="00FE1BC3" w:rsidP="00CA1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1BC3">
        <w:rPr>
          <w:rFonts w:ascii="Arial" w:hAnsi="Arial" w:cs="Arial"/>
          <w:color w:val="010000"/>
          <w:sz w:val="20"/>
        </w:rPr>
        <w:t xml:space="preserve">This </w:t>
      </w:r>
      <w:r w:rsidR="00CA126A">
        <w:rPr>
          <w:rFonts w:ascii="Arial" w:hAnsi="Arial" w:cs="Arial"/>
          <w:color w:val="010000"/>
          <w:sz w:val="20"/>
        </w:rPr>
        <w:t xml:space="preserve">Board </w:t>
      </w:r>
      <w:r w:rsidRPr="00FE1BC3">
        <w:rPr>
          <w:rFonts w:ascii="Arial" w:hAnsi="Arial" w:cs="Arial"/>
          <w:color w:val="010000"/>
          <w:sz w:val="20"/>
        </w:rPr>
        <w:t>Resolution takes effect from the date of its signing. Members of the Board of Directors</w:t>
      </w:r>
      <w:r w:rsidR="00CA126A">
        <w:rPr>
          <w:rFonts w:ascii="Arial" w:hAnsi="Arial" w:cs="Arial"/>
          <w:color w:val="010000"/>
          <w:sz w:val="20"/>
        </w:rPr>
        <w:t xml:space="preserve"> and </w:t>
      </w:r>
      <w:r w:rsidR="00CA126A">
        <w:rPr>
          <w:rFonts w:ascii="Arial" w:hAnsi="Arial" w:cs="Arial"/>
          <w:color w:val="010000"/>
          <w:sz w:val="20"/>
        </w:rPr>
        <w:lastRenderedPageBreak/>
        <w:t>Executive Board and related Departments, Divisions and</w:t>
      </w:r>
      <w:r w:rsidRPr="00FE1BC3">
        <w:rPr>
          <w:rFonts w:ascii="Arial" w:hAnsi="Arial" w:cs="Arial"/>
          <w:color w:val="010000"/>
          <w:sz w:val="20"/>
        </w:rPr>
        <w:t xml:space="preserve"> individuals take responsibility for implementing this Resolution. </w:t>
      </w:r>
    </w:p>
    <w:sectPr w:rsidR="00C66FED" w:rsidRPr="00FE1BC3" w:rsidSect="00FE1BC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049F"/>
    <w:multiLevelType w:val="multilevel"/>
    <w:tmpl w:val="2C9850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E119D8"/>
    <w:multiLevelType w:val="hybridMultilevel"/>
    <w:tmpl w:val="C6925D16"/>
    <w:lvl w:ilvl="0" w:tplc="AD1C84A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ED"/>
    <w:rsid w:val="0048570B"/>
    <w:rsid w:val="00C66FED"/>
    <w:rsid w:val="00CA126A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7CEE6"/>
  <w15:docId w15:val="{A6AB8CD9-31F2-4ACB-9B16-ED0392A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1">
    <w:name w:val="Heading #1"/>
    <w:basedOn w:val="Normal"/>
    <w:link w:val="Heading10"/>
    <w:pPr>
      <w:ind w:left="22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ind w:firstLine="3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1">
    <w:name w:val="Heading #3"/>
    <w:basedOn w:val="Normal"/>
    <w:link w:val="Heading30"/>
    <w:pPr>
      <w:ind w:left="40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pacing w:line="264" w:lineRule="auto"/>
      <w:ind w:left="420"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pacing w:line="26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F92D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FE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KH6M1illWHAzG90/S+ay94K+Q==">CgMxLjA4AHIhMWt0azhfVXJpRnpvVlFPRGxULVR2dEMxRjlMeHJ3V1ly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2024-08-01T02:19:00Z</dcterms:created>
  <dcterms:modified xsi:type="dcterms:W3CDTF">2024-08-01T02:19:00Z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78e889e09047978dcf5317fc29f4c8ed344219cb0a1e11042633f63c9312b74e</vt:lpwstr>
  </property>
</Properties>
</file>