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0F6B" w:rsidRPr="00CA2159" w:rsidRDefault="00CA2159" w:rsidP="00CA21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6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A2159">
        <w:rPr>
          <w:rFonts w:ascii="Arial" w:hAnsi="Arial" w:cs="Arial"/>
          <w:b/>
          <w:color w:val="010000"/>
          <w:sz w:val="20"/>
        </w:rPr>
        <w:t>VIW</w:t>
      </w:r>
      <w:r w:rsidRPr="00CA2159">
        <w:rPr>
          <w:rFonts w:ascii="Arial" w:hAnsi="Arial" w:cs="Arial"/>
          <w:b/>
          <w:color w:val="010000"/>
          <w:sz w:val="20"/>
        </w:rPr>
        <w:t>:</w:t>
      </w:r>
      <w:r w:rsidRPr="00CA2159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0000002" w14:textId="3E18A623" w:rsidR="00200F6B" w:rsidRPr="00CA2159" w:rsidRDefault="00CA2159" w:rsidP="00CA215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 xml:space="preserve">On </w:t>
      </w:r>
      <w:r w:rsidRPr="00CA2159">
        <w:rPr>
          <w:rFonts w:ascii="Arial" w:hAnsi="Arial" w:cs="Arial"/>
          <w:color w:val="010000"/>
          <w:sz w:val="20"/>
        </w:rPr>
        <w:t>July</w:t>
      </w:r>
      <w:r w:rsidRPr="00CA2159">
        <w:rPr>
          <w:rFonts w:ascii="Arial" w:hAnsi="Arial" w:cs="Arial"/>
          <w:color w:val="010000"/>
          <w:sz w:val="20"/>
        </w:rPr>
        <w:t xml:space="preserve"> </w:t>
      </w:r>
      <w:r w:rsidRPr="00CA2159">
        <w:rPr>
          <w:rFonts w:ascii="Arial" w:hAnsi="Arial" w:cs="Arial"/>
          <w:color w:val="010000"/>
          <w:sz w:val="20"/>
        </w:rPr>
        <w:t>24</w:t>
      </w:r>
      <w:r w:rsidRPr="00CA2159">
        <w:rPr>
          <w:rFonts w:ascii="Arial" w:hAnsi="Arial" w:cs="Arial"/>
          <w:color w:val="010000"/>
          <w:sz w:val="20"/>
        </w:rPr>
        <w:t xml:space="preserve">, </w:t>
      </w:r>
      <w:r w:rsidRPr="00CA2159">
        <w:rPr>
          <w:rFonts w:ascii="Arial" w:hAnsi="Arial" w:cs="Arial"/>
          <w:color w:val="010000"/>
          <w:sz w:val="20"/>
        </w:rPr>
        <w:t>2024</w:t>
      </w:r>
      <w:r w:rsidRPr="00CA2159">
        <w:rPr>
          <w:rFonts w:ascii="Arial" w:hAnsi="Arial" w:cs="Arial"/>
          <w:color w:val="010000"/>
          <w:sz w:val="20"/>
        </w:rPr>
        <w:t xml:space="preserve">, </w:t>
      </w:r>
      <w:r w:rsidRPr="00CA2159">
        <w:rPr>
          <w:rFonts w:ascii="Arial" w:hAnsi="Arial" w:cs="Arial"/>
          <w:color w:val="010000"/>
          <w:sz w:val="20"/>
        </w:rPr>
        <w:t>Vietnam Water and Environment Investment Corporation</w:t>
      </w:r>
      <w:r w:rsidRPr="00CA2159">
        <w:rPr>
          <w:rFonts w:ascii="Arial" w:hAnsi="Arial" w:cs="Arial"/>
          <w:color w:val="010000"/>
          <w:sz w:val="20"/>
        </w:rPr>
        <w:t xml:space="preserve"> announced Decision No. </w:t>
      </w:r>
      <w:r w:rsidRPr="00CA2159">
        <w:rPr>
          <w:rFonts w:ascii="Arial" w:hAnsi="Arial" w:cs="Arial"/>
          <w:color w:val="010000"/>
          <w:sz w:val="20"/>
        </w:rPr>
        <w:t>11</w:t>
      </w:r>
      <w:r w:rsidRPr="00CA2159">
        <w:rPr>
          <w:rFonts w:ascii="Arial" w:hAnsi="Arial" w:cs="Arial"/>
          <w:color w:val="010000"/>
          <w:sz w:val="20"/>
        </w:rPr>
        <w:t>/QD-HDQT on approving the results of selecting an audit company for the</w:t>
      </w:r>
      <w:r w:rsidRPr="00CA2159">
        <w:rPr>
          <w:rFonts w:ascii="Arial" w:hAnsi="Arial" w:cs="Arial"/>
          <w:color w:val="010000"/>
          <w:sz w:val="20"/>
        </w:rPr>
        <w:t xml:space="preserve"> Financial Statements </w:t>
      </w:r>
      <w:r w:rsidRPr="00CA2159">
        <w:rPr>
          <w:rFonts w:ascii="Arial" w:hAnsi="Arial" w:cs="Arial"/>
          <w:color w:val="010000"/>
          <w:sz w:val="20"/>
        </w:rPr>
        <w:t>2024</w:t>
      </w:r>
      <w:r w:rsidRPr="00CA2159">
        <w:rPr>
          <w:rFonts w:ascii="Arial" w:hAnsi="Arial" w:cs="Arial"/>
          <w:color w:val="010000"/>
          <w:sz w:val="20"/>
        </w:rPr>
        <w:t xml:space="preserve"> of the Corporation </w:t>
      </w:r>
      <w:r w:rsidRPr="00CA2159">
        <w:rPr>
          <w:rFonts w:ascii="Arial" w:hAnsi="Arial" w:cs="Arial"/>
          <w:color w:val="010000"/>
          <w:sz w:val="20"/>
        </w:rPr>
        <w:t>as</w:t>
      </w:r>
      <w:bookmarkStart w:id="0" w:name="_GoBack"/>
      <w:bookmarkEnd w:id="0"/>
      <w:r w:rsidRPr="00CA2159">
        <w:rPr>
          <w:rFonts w:ascii="Arial" w:hAnsi="Arial" w:cs="Arial"/>
          <w:color w:val="010000"/>
          <w:sz w:val="20"/>
        </w:rPr>
        <w:t xml:space="preserve"> follows</w:t>
      </w:r>
      <w:r w:rsidRPr="00CA2159">
        <w:rPr>
          <w:rFonts w:ascii="Arial" w:hAnsi="Arial" w:cs="Arial"/>
          <w:color w:val="010000"/>
          <w:sz w:val="20"/>
        </w:rPr>
        <w:t>:</w:t>
      </w:r>
    </w:p>
    <w:p w14:paraId="00000003" w14:textId="77777777" w:rsidR="00200F6B" w:rsidRPr="00CA2159" w:rsidRDefault="00CA2159" w:rsidP="00CA21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 xml:space="preserve">‎‎Article </w:t>
      </w:r>
      <w:r w:rsidRPr="00CA2159">
        <w:rPr>
          <w:rFonts w:ascii="Arial" w:hAnsi="Arial" w:cs="Arial"/>
          <w:color w:val="010000"/>
          <w:sz w:val="20"/>
        </w:rPr>
        <w:t>1</w:t>
      </w:r>
      <w:r w:rsidRPr="00CA2159">
        <w:rPr>
          <w:rFonts w:ascii="Arial" w:hAnsi="Arial" w:cs="Arial"/>
          <w:color w:val="010000"/>
          <w:sz w:val="20"/>
        </w:rPr>
        <w:t xml:space="preserve">. </w:t>
      </w:r>
      <w:r w:rsidRPr="00CA2159">
        <w:rPr>
          <w:rFonts w:ascii="Arial" w:hAnsi="Arial" w:cs="Arial"/>
          <w:color w:val="010000"/>
          <w:sz w:val="20"/>
        </w:rPr>
        <w:t xml:space="preserve">Approve the results of selecting the audit company for the Financial Statements </w:t>
      </w:r>
      <w:r w:rsidRPr="00CA2159">
        <w:rPr>
          <w:rFonts w:ascii="Arial" w:hAnsi="Arial" w:cs="Arial"/>
          <w:color w:val="010000"/>
          <w:sz w:val="20"/>
        </w:rPr>
        <w:t>2024</w:t>
      </w:r>
      <w:r w:rsidRPr="00CA2159">
        <w:rPr>
          <w:rFonts w:ascii="Arial" w:hAnsi="Arial" w:cs="Arial"/>
          <w:color w:val="010000"/>
          <w:sz w:val="20"/>
        </w:rPr>
        <w:t xml:space="preserve"> of the Corporation as follows</w:t>
      </w:r>
      <w:r w:rsidRPr="00CA2159">
        <w:rPr>
          <w:rFonts w:ascii="Arial" w:hAnsi="Arial" w:cs="Arial"/>
          <w:color w:val="010000"/>
          <w:sz w:val="20"/>
        </w:rPr>
        <w:t>:</w:t>
      </w:r>
    </w:p>
    <w:p w14:paraId="00000004" w14:textId="77777777" w:rsidR="00200F6B" w:rsidRPr="00CA2159" w:rsidRDefault="00CA2159" w:rsidP="00CA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>Audit company</w:t>
      </w:r>
      <w:r w:rsidRPr="00CA2159">
        <w:rPr>
          <w:rFonts w:ascii="Arial" w:hAnsi="Arial" w:cs="Arial"/>
          <w:color w:val="010000"/>
          <w:sz w:val="20"/>
        </w:rPr>
        <w:t>:</w:t>
      </w:r>
      <w:r w:rsidRPr="00CA2159">
        <w:rPr>
          <w:rFonts w:ascii="Arial" w:hAnsi="Arial" w:cs="Arial"/>
          <w:color w:val="010000"/>
          <w:sz w:val="20"/>
        </w:rPr>
        <w:t xml:space="preserve"> Anviet Auditing Company Limited</w:t>
      </w:r>
    </w:p>
    <w:p w14:paraId="00000005" w14:textId="538F1843" w:rsidR="00200F6B" w:rsidRPr="00CA2159" w:rsidRDefault="00CA2159" w:rsidP="00CA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22"/>
          <w:tab w:val="left" w:pos="45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>Implemented price</w:t>
      </w:r>
      <w:r w:rsidRPr="00CA2159">
        <w:rPr>
          <w:rFonts w:ascii="Arial" w:hAnsi="Arial" w:cs="Arial"/>
          <w:color w:val="010000"/>
          <w:sz w:val="20"/>
        </w:rPr>
        <w:t>:</w:t>
      </w:r>
      <w:r w:rsidRPr="00CA2159">
        <w:rPr>
          <w:rFonts w:ascii="Arial" w:hAnsi="Arial" w:cs="Arial"/>
          <w:color w:val="010000"/>
          <w:sz w:val="20"/>
        </w:rPr>
        <w:t xml:space="preserve"> VND</w:t>
      </w:r>
      <w:r w:rsidRPr="00CA2159">
        <w:rPr>
          <w:rFonts w:ascii="Arial" w:hAnsi="Arial" w:cs="Arial"/>
          <w:color w:val="010000"/>
          <w:sz w:val="20"/>
        </w:rPr>
        <w:t>450,000,000</w:t>
      </w:r>
      <w:r w:rsidRPr="00CA2159">
        <w:rPr>
          <w:rFonts w:ascii="Arial" w:hAnsi="Arial" w:cs="Arial"/>
          <w:color w:val="010000"/>
          <w:sz w:val="20"/>
        </w:rPr>
        <w:t xml:space="preserve"> (excluding VAT</w:t>
      </w:r>
      <w:r w:rsidRPr="00CA2159">
        <w:rPr>
          <w:rFonts w:ascii="Arial" w:hAnsi="Arial" w:cs="Arial"/>
          <w:color w:val="010000"/>
          <w:sz w:val="20"/>
        </w:rPr>
        <w:t>)</w:t>
      </w:r>
    </w:p>
    <w:p w14:paraId="00000006" w14:textId="77777777" w:rsidR="00200F6B" w:rsidRPr="00CA2159" w:rsidRDefault="00CA2159" w:rsidP="00CA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0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>Contract</w:t>
      </w:r>
      <w:r w:rsidRPr="00CA2159">
        <w:rPr>
          <w:rFonts w:ascii="Arial" w:hAnsi="Arial" w:cs="Arial"/>
          <w:color w:val="010000"/>
          <w:sz w:val="20"/>
        </w:rPr>
        <w:t>:</w:t>
      </w:r>
      <w:r w:rsidRPr="00CA2159">
        <w:rPr>
          <w:rFonts w:ascii="Arial" w:hAnsi="Arial" w:cs="Arial"/>
          <w:color w:val="010000"/>
          <w:sz w:val="20"/>
        </w:rPr>
        <w:t xml:space="preserve"> </w:t>
      </w:r>
      <w:r w:rsidRPr="00CA2159">
        <w:rPr>
          <w:rFonts w:ascii="Arial" w:hAnsi="Arial" w:cs="Arial"/>
          <w:color w:val="010000"/>
          <w:sz w:val="20"/>
        </w:rPr>
        <w:t>Lump-sum contract.</w:t>
      </w:r>
    </w:p>
    <w:p w14:paraId="00000007" w14:textId="77777777" w:rsidR="00200F6B" w:rsidRPr="00CA2159" w:rsidRDefault="00CA2159" w:rsidP="00CA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2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>Scope of work</w:t>
      </w:r>
      <w:r w:rsidRPr="00CA2159">
        <w:rPr>
          <w:rFonts w:ascii="Arial" w:hAnsi="Arial" w:cs="Arial"/>
          <w:color w:val="010000"/>
          <w:sz w:val="20"/>
        </w:rPr>
        <w:t>:</w:t>
      </w:r>
    </w:p>
    <w:p w14:paraId="00000008" w14:textId="6B852560" w:rsidR="00200F6B" w:rsidRPr="00CA2159" w:rsidRDefault="00CA2159" w:rsidP="00CA2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 xml:space="preserve">Review the </w:t>
      </w:r>
      <w:r w:rsidRPr="00CA2159">
        <w:rPr>
          <w:rFonts w:ascii="Arial" w:hAnsi="Arial" w:cs="Arial"/>
          <w:color w:val="010000"/>
          <w:sz w:val="20"/>
        </w:rPr>
        <w:t xml:space="preserve">Separate Financial Statements of the Holding Company </w:t>
      </w:r>
      <w:r w:rsidRPr="00CA2159">
        <w:rPr>
          <w:rFonts w:ascii="Arial" w:hAnsi="Arial" w:cs="Arial"/>
          <w:color w:val="010000"/>
          <w:sz w:val="20"/>
        </w:rPr>
        <w:t xml:space="preserve">and the Semi-Annual Consolidated Financial Statements </w:t>
      </w:r>
      <w:r w:rsidRPr="00CA2159">
        <w:rPr>
          <w:rFonts w:ascii="Arial" w:hAnsi="Arial" w:cs="Arial"/>
          <w:color w:val="010000"/>
          <w:sz w:val="20"/>
        </w:rPr>
        <w:t>2024</w:t>
      </w:r>
      <w:r w:rsidRPr="00CA2159">
        <w:rPr>
          <w:rFonts w:ascii="Arial" w:hAnsi="Arial" w:cs="Arial"/>
          <w:color w:val="010000"/>
          <w:sz w:val="20"/>
        </w:rPr>
        <w:t xml:space="preserve"> of the Corporation.</w:t>
      </w:r>
    </w:p>
    <w:p w14:paraId="00000009" w14:textId="3694F07B" w:rsidR="00200F6B" w:rsidRPr="00CA2159" w:rsidRDefault="00CA2159" w:rsidP="00CA2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 xml:space="preserve">Audit the </w:t>
      </w:r>
      <w:r w:rsidRPr="00CA2159">
        <w:rPr>
          <w:rFonts w:ascii="Arial" w:hAnsi="Arial" w:cs="Arial"/>
          <w:color w:val="010000"/>
          <w:sz w:val="20"/>
        </w:rPr>
        <w:t>Separate Financial Statements of the Holding Company</w:t>
      </w:r>
      <w:r w:rsidRPr="00CA2159">
        <w:rPr>
          <w:rFonts w:ascii="Arial" w:hAnsi="Arial" w:cs="Arial"/>
          <w:color w:val="010000"/>
          <w:sz w:val="20"/>
        </w:rPr>
        <w:t xml:space="preserve"> and the Consolidated Financial Statements </w:t>
      </w:r>
      <w:r w:rsidRPr="00CA2159">
        <w:rPr>
          <w:rFonts w:ascii="Arial" w:hAnsi="Arial" w:cs="Arial"/>
          <w:color w:val="010000"/>
          <w:sz w:val="20"/>
        </w:rPr>
        <w:t>202</w:t>
      </w:r>
      <w:r w:rsidRPr="00CA2159">
        <w:rPr>
          <w:rFonts w:ascii="Arial" w:hAnsi="Arial" w:cs="Arial"/>
          <w:color w:val="010000"/>
          <w:sz w:val="20"/>
        </w:rPr>
        <w:t>4</w:t>
      </w:r>
      <w:r w:rsidRPr="00CA2159">
        <w:rPr>
          <w:rFonts w:ascii="Arial" w:hAnsi="Arial" w:cs="Arial"/>
          <w:color w:val="010000"/>
          <w:sz w:val="20"/>
        </w:rPr>
        <w:t xml:space="preserve"> of the Corporation.</w:t>
      </w:r>
    </w:p>
    <w:p w14:paraId="0000000A" w14:textId="77777777" w:rsidR="00200F6B" w:rsidRPr="00CA2159" w:rsidRDefault="00CA2159" w:rsidP="00CA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6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>Implementation time of the contract</w:t>
      </w:r>
      <w:r w:rsidRPr="00CA2159">
        <w:rPr>
          <w:rFonts w:ascii="Arial" w:hAnsi="Arial" w:cs="Arial"/>
          <w:color w:val="010000"/>
          <w:sz w:val="20"/>
        </w:rPr>
        <w:t>:</w:t>
      </w:r>
    </w:p>
    <w:p w14:paraId="0000000B" w14:textId="6D3CD27F" w:rsidR="00200F6B" w:rsidRPr="00CA2159" w:rsidRDefault="00CA2159" w:rsidP="00CA2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6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 xml:space="preserve">No later than </w:t>
      </w:r>
      <w:r w:rsidRPr="00CA2159">
        <w:rPr>
          <w:rFonts w:ascii="Arial" w:hAnsi="Arial" w:cs="Arial"/>
          <w:color w:val="010000"/>
          <w:sz w:val="20"/>
        </w:rPr>
        <w:t>August</w:t>
      </w:r>
      <w:r w:rsidRPr="00CA2159">
        <w:rPr>
          <w:rFonts w:ascii="Arial" w:hAnsi="Arial" w:cs="Arial"/>
          <w:color w:val="010000"/>
          <w:sz w:val="20"/>
        </w:rPr>
        <w:t xml:space="preserve"> </w:t>
      </w:r>
      <w:r w:rsidRPr="00CA2159">
        <w:rPr>
          <w:rFonts w:ascii="Arial" w:hAnsi="Arial" w:cs="Arial"/>
          <w:color w:val="010000"/>
          <w:sz w:val="20"/>
        </w:rPr>
        <w:t>30</w:t>
      </w:r>
      <w:r w:rsidRPr="00CA2159">
        <w:rPr>
          <w:rFonts w:ascii="Arial" w:hAnsi="Arial" w:cs="Arial"/>
          <w:color w:val="010000"/>
          <w:sz w:val="20"/>
        </w:rPr>
        <w:t xml:space="preserve">, </w:t>
      </w:r>
      <w:r w:rsidRPr="00CA2159">
        <w:rPr>
          <w:rFonts w:ascii="Arial" w:hAnsi="Arial" w:cs="Arial"/>
          <w:color w:val="010000"/>
          <w:sz w:val="20"/>
        </w:rPr>
        <w:t>2024</w:t>
      </w:r>
      <w:r w:rsidRPr="00CA2159">
        <w:rPr>
          <w:rFonts w:ascii="Arial" w:hAnsi="Arial" w:cs="Arial"/>
          <w:color w:val="010000"/>
          <w:sz w:val="20"/>
        </w:rPr>
        <w:t>, the Reviewed Statements</w:t>
      </w:r>
      <w:r w:rsidRPr="00CA2159">
        <w:rPr>
          <w:rFonts w:ascii="Arial" w:hAnsi="Arial" w:cs="Arial"/>
          <w:color w:val="010000"/>
          <w:sz w:val="20"/>
        </w:rPr>
        <w:t xml:space="preserve"> and related documents for the </w:t>
      </w:r>
      <w:r w:rsidRPr="00CA2159">
        <w:rPr>
          <w:rFonts w:ascii="Arial" w:hAnsi="Arial" w:cs="Arial"/>
          <w:color w:val="010000"/>
          <w:sz w:val="20"/>
        </w:rPr>
        <w:t xml:space="preserve">Separate Financial Statements of the Holding Company </w:t>
      </w:r>
      <w:r w:rsidRPr="00CA2159">
        <w:rPr>
          <w:rFonts w:ascii="Arial" w:hAnsi="Arial" w:cs="Arial"/>
          <w:color w:val="010000"/>
          <w:sz w:val="20"/>
        </w:rPr>
        <w:t xml:space="preserve">and the Semi-Annual Consolidated Financial Statements </w:t>
      </w:r>
      <w:r w:rsidRPr="00CA2159">
        <w:rPr>
          <w:rFonts w:ascii="Arial" w:hAnsi="Arial" w:cs="Arial"/>
          <w:color w:val="010000"/>
          <w:sz w:val="20"/>
        </w:rPr>
        <w:t>2024</w:t>
      </w:r>
      <w:r w:rsidRPr="00CA2159">
        <w:rPr>
          <w:rFonts w:ascii="Arial" w:hAnsi="Arial" w:cs="Arial"/>
          <w:color w:val="010000"/>
          <w:sz w:val="20"/>
        </w:rPr>
        <w:t xml:space="preserve"> of the Corporation must be issued.</w:t>
      </w:r>
    </w:p>
    <w:p w14:paraId="0000000C" w14:textId="2B115EFC" w:rsidR="00200F6B" w:rsidRPr="00CA2159" w:rsidRDefault="00CA2159" w:rsidP="00CA21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6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 xml:space="preserve">No later than </w:t>
      </w:r>
      <w:r w:rsidRPr="00CA2159">
        <w:rPr>
          <w:rFonts w:ascii="Arial" w:hAnsi="Arial" w:cs="Arial"/>
          <w:color w:val="010000"/>
          <w:sz w:val="20"/>
        </w:rPr>
        <w:t>March</w:t>
      </w:r>
      <w:r w:rsidRPr="00CA2159">
        <w:rPr>
          <w:rFonts w:ascii="Arial" w:hAnsi="Arial" w:cs="Arial"/>
          <w:color w:val="010000"/>
          <w:sz w:val="20"/>
        </w:rPr>
        <w:t xml:space="preserve"> </w:t>
      </w:r>
      <w:r w:rsidRPr="00CA2159">
        <w:rPr>
          <w:rFonts w:ascii="Arial" w:hAnsi="Arial" w:cs="Arial"/>
          <w:color w:val="010000"/>
          <w:sz w:val="20"/>
        </w:rPr>
        <w:t>30</w:t>
      </w:r>
      <w:r w:rsidRPr="00CA2159">
        <w:rPr>
          <w:rFonts w:ascii="Arial" w:hAnsi="Arial" w:cs="Arial"/>
          <w:color w:val="010000"/>
          <w:sz w:val="20"/>
        </w:rPr>
        <w:t xml:space="preserve">, </w:t>
      </w:r>
      <w:r w:rsidRPr="00CA2159">
        <w:rPr>
          <w:rFonts w:ascii="Arial" w:hAnsi="Arial" w:cs="Arial"/>
          <w:color w:val="010000"/>
          <w:sz w:val="20"/>
        </w:rPr>
        <w:t>2025</w:t>
      </w:r>
      <w:r w:rsidRPr="00CA2159">
        <w:rPr>
          <w:rFonts w:ascii="Arial" w:hAnsi="Arial" w:cs="Arial"/>
          <w:color w:val="010000"/>
          <w:sz w:val="20"/>
        </w:rPr>
        <w:t>, the</w:t>
      </w:r>
      <w:r w:rsidRPr="00CA2159">
        <w:rPr>
          <w:rFonts w:ascii="Arial" w:hAnsi="Arial" w:cs="Arial"/>
          <w:color w:val="010000"/>
          <w:sz w:val="20"/>
        </w:rPr>
        <w:t xml:space="preserve"> Auditor's Report and related documents must be issued for the </w:t>
      </w:r>
      <w:r w:rsidRPr="00CA2159">
        <w:rPr>
          <w:rFonts w:ascii="Arial" w:hAnsi="Arial" w:cs="Arial"/>
          <w:color w:val="010000"/>
          <w:sz w:val="20"/>
        </w:rPr>
        <w:t xml:space="preserve">Separate Financial Statements of the Holding Company </w:t>
      </w:r>
      <w:r w:rsidRPr="00CA2159">
        <w:rPr>
          <w:rFonts w:ascii="Arial" w:hAnsi="Arial" w:cs="Arial"/>
          <w:color w:val="010000"/>
          <w:sz w:val="20"/>
        </w:rPr>
        <w:t xml:space="preserve">and the Consolidated Financial Statements </w:t>
      </w:r>
      <w:r w:rsidRPr="00CA2159">
        <w:rPr>
          <w:rFonts w:ascii="Arial" w:hAnsi="Arial" w:cs="Arial"/>
          <w:color w:val="010000"/>
          <w:sz w:val="20"/>
        </w:rPr>
        <w:t>2024</w:t>
      </w:r>
      <w:r w:rsidRPr="00CA2159">
        <w:rPr>
          <w:rFonts w:ascii="Arial" w:hAnsi="Arial" w:cs="Arial"/>
          <w:color w:val="010000"/>
          <w:sz w:val="20"/>
        </w:rPr>
        <w:t xml:space="preserve"> of the Corporation.</w:t>
      </w:r>
    </w:p>
    <w:p w14:paraId="0000000D" w14:textId="432EF1A6" w:rsidR="00200F6B" w:rsidRPr="00CA2159" w:rsidRDefault="00CA2159" w:rsidP="00CA21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 xml:space="preserve">‎‎Article </w:t>
      </w:r>
      <w:r w:rsidRPr="00CA2159">
        <w:rPr>
          <w:rFonts w:ascii="Arial" w:hAnsi="Arial" w:cs="Arial"/>
          <w:color w:val="010000"/>
          <w:sz w:val="20"/>
        </w:rPr>
        <w:t>2</w:t>
      </w:r>
      <w:r w:rsidRPr="00CA2159">
        <w:rPr>
          <w:rFonts w:ascii="Arial" w:hAnsi="Arial" w:cs="Arial"/>
          <w:color w:val="010000"/>
          <w:sz w:val="20"/>
        </w:rPr>
        <w:t xml:space="preserve">. </w:t>
      </w:r>
      <w:r w:rsidRPr="00CA2159">
        <w:rPr>
          <w:rFonts w:ascii="Arial" w:hAnsi="Arial" w:cs="Arial"/>
          <w:color w:val="010000"/>
          <w:sz w:val="20"/>
        </w:rPr>
        <w:t>The Board of Directors authorized the General Manager of the Corp</w:t>
      </w:r>
      <w:r w:rsidRPr="00CA2159">
        <w:rPr>
          <w:rFonts w:ascii="Arial" w:hAnsi="Arial" w:cs="Arial"/>
          <w:color w:val="010000"/>
          <w:sz w:val="20"/>
        </w:rPr>
        <w:t xml:space="preserve">oration to negotiate, discuss, and sign a contract with the audit company to ensure the contents are in accordance with the provisions of law and match the requirements in Section </w:t>
      </w:r>
      <w:r w:rsidRPr="00CA2159">
        <w:rPr>
          <w:rFonts w:ascii="Arial" w:hAnsi="Arial" w:cs="Arial"/>
          <w:color w:val="010000"/>
          <w:sz w:val="20"/>
        </w:rPr>
        <w:t>2</w:t>
      </w:r>
      <w:r w:rsidRPr="00CA2159">
        <w:rPr>
          <w:rFonts w:ascii="Arial" w:hAnsi="Arial" w:cs="Arial"/>
          <w:color w:val="010000"/>
          <w:sz w:val="20"/>
        </w:rPr>
        <w:t xml:space="preserve">, Article </w:t>
      </w:r>
      <w:r w:rsidRPr="00CA2159">
        <w:rPr>
          <w:rFonts w:ascii="Arial" w:hAnsi="Arial" w:cs="Arial"/>
          <w:color w:val="010000"/>
          <w:sz w:val="20"/>
        </w:rPr>
        <w:t>16</w:t>
      </w:r>
      <w:r w:rsidRPr="00CA2159">
        <w:rPr>
          <w:rFonts w:ascii="Arial" w:hAnsi="Arial" w:cs="Arial"/>
          <w:color w:val="010000"/>
          <w:sz w:val="20"/>
        </w:rPr>
        <w:t xml:space="preserve">, Decree </w:t>
      </w:r>
      <w:r w:rsidRPr="00CA2159">
        <w:rPr>
          <w:rFonts w:ascii="Arial" w:hAnsi="Arial" w:cs="Arial"/>
          <w:color w:val="010000"/>
          <w:sz w:val="20"/>
        </w:rPr>
        <w:t>17</w:t>
      </w:r>
      <w:r w:rsidRPr="00CA2159">
        <w:rPr>
          <w:rFonts w:ascii="Arial" w:hAnsi="Arial" w:cs="Arial"/>
          <w:color w:val="010000"/>
          <w:sz w:val="20"/>
        </w:rPr>
        <w:t>/</w:t>
      </w:r>
      <w:r w:rsidRPr="00CA2159">
        <w:rPr>
          <w:rFonts w:ascii="Arial" w:hAnsi="Arial" w:cs="Arial"/>
          <w:color w:val="010000"/>
          <w:sz w:val="20"/>
        </w:rPr>
        <w:t>2012</w:t>
      </w:r>
      <w:r w:rsidRPr="00CA2159">
        <w:rPr>
          <w:rFonts w:ascii="Arial" w:hAnsi="Arial" w:cs="Arial"/>
          <w:color w:val="010000"/>
          <w:sz w:val="20"/>
        </w:rPr>
        <w:t xml:space="preserve">/ND-CP dated </w:t>
      </w:r>
      <w:r w:rsidRPr="00CA2159">
        <w:rPr>
          <w:rFonts w:ascii="Arial" w:hAnsi="Arial" w:cs="Arial"/>
          <w:color w:val="010000"/>
          <w:sz w:val="20"/>
        </w:rPr>
        <w:t>March</w:t>
      </w:r>
      <w:r w:rsidRPr="00CA2159">
        <w:rPr>
          <w:rFonts w:ascii="Arial" w:hAnsi="Arial" w:cs="Arial"/>
          <w:color w:val="010000"/>
          <w:sz w:val="20"/>
        </w:rPr>
        <w:t xml:space="preserve"> </w:t>
      </w:r>
      <w:r w:rsidRPr="00CA2159">
        <w:rPr>
          <w:rFonts w:ascii="Arial" w:hAnsi="Arial" w:cs="Arial"/>
          <w:color w:val="010000"/>
          <w:sz w:val="20"/>
        </w:rPr>
        <w:t>13</w:t>
      </w:r>
      <w:r w:rsidRPr="00CA2159">
        <w:rPr>
          <w:rFonts w:ascii="Arial" w:hAnsi="Arial" w:cs="Arial"/>
          <w:color w:val="010000"/>
          <w:sz w:val="20"/>
        </w:rPr>
        <w:t xml:space="preserve">, </w:t>
      </w:r>
      <w:r w:rsidRPr="00CA2159">
        <w:rPr>
          <w:rFonts w:ascii="Arial" w:hAnsi="Arial" w:cs="Arial"/>
          <w:color w:val="010000"/>
          <w:sz w:val="20"/>
        </w:rPr>
        <w:t>2012</w:t>
      </w:r>
      <w:r w:rsidRPr="00CA2159">
        <w:rPr>
          <w:rFonts w:ascii="Arial" w:hAnsi="Arial" w:cs="Arial"/>
          <w:color w:val="010000"/>
          <w:sz w:val="20"/>
        </w:rPr>
        <w:t>, detailing and guid</w:t>
      </w:r>
      <w:r w:rsidRPr="00CA2159">
        <w:rPr>
          <w:rFonts w:ascii="Arial" w:hAnsi="Arial" w:cs="Arial"/>
          <w:color w:val="010000"/>
          <w:sz w:val="20"/>
        </w:rPr>
        <w:t>ing some</w:t>
      </w:r>
      <w:r w:rsidRPr="00CA2159">
        <w:rPr>
          <w:rFonts w:ascii="Arial" w:hAnsi="Arial" w:cs="Arial"/>
          <w:color w:val="010000"/>
          <w:sz w:val="20"/>
        </w:rPr>
        <w:t xml:space="preserve"> articles of the Law on Independent Audit.</w:t>
      </w:r>
    </w:p>
    <w:p w14:paraId="0000000E" w14:textId="77777777" w:rsidR="00200F6B" w:rsidRPr="00CA2159" w:rsidRDefault="00CA2159" w:rsidP="00CA21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 xml:space="preserve">‎‎Article </w:t>
      </w:r>
      <w:r w:rsidRPr="00CA2159">
        <w:rPr>
          <w:rFonts w:ascii="Arial" w:hAnsi="Arial" w:cs="Arial"/>
          <w:color w:val="010000"/>
          <w:sz w:val="20"/>
        </w:rPr>
        <w:t>3</w:t>
      </w:r>
      <w:r w:rsidRPr="00CA2159">
        <w:rPr>
          <w:rFonts w:ascii="Arial" w:hAnsi="Arial" w:cs="Arial"/>
          <w:color w:val="010000"/>
          <w:sz w:val="20"/>
        </w:rPr>
        <w:t>. This Decision takes effect from the date of its signing.</w:t>
      </w:r>
    </w:p>
    <w:p w14:paraId="0000000F" w14:textId="77777777" w:rsidR="00200F6B" w:rsidRPr="00CA2159" w:rsidRDefault="00CA2159" w:rsidP="00CA21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A2159">
        <w:rPr>
          <w:rFonts w:ascii="Arial" w:hAnsi="Arial" w:cs="Arial"/>
          <w:color w:val="010000"/>
          <w:sz w:val="20"/>
        </w:rPr>
        <w:t>Members of</w:t>
      </w:r>
      <w:r w:rsidRPr="00CA2159">
        <w:rPr>
          <w:rFonts w:ascii="Arial" w:hAnsi="Arial" w:cs="Arial"/>
          <w:color w:val="010000"/>
          <w:sz w:val="20"/>
        </w:rPr>
        <w:t>:</w:t>
      </w:r>
      <w:r w:rsidRPr="00CA2159">
        <w:rPr>
          <w:rFonts w:ascii="Arial" w:hAnsi="Arial" w:cs="Arial"/>
          <w:color w:val="010000"/>
          <w:sz w:val="20"/>
        </w:rPr>
        <w:t xml:space="preserve"> </w:t>
      </w:r>
      <w:r w:rsidRPr="00CA2159">
        <w:rPr>
          <w:rFonts w:ascii="Arial" w:hAnsi="Arial" w:cs="Arial"/>
          <w:color w:val="010000"/>
          <w:sz w:val="20"/>
        </w:rPr>
        <w:t>The Board of Directors, the General Manager, the Chief Accountant, and relevant Departments based on the Decision to</w:t>
      </w:r>
      <w:r w:rsidRPr="00CA2159">
        <w:rPr>
          <w:rFonts w:ascii="Arial" w:hAnsi="Arial" w:cs="Arial"/>
          <w:color w:val="010000"/>
          <w:sz w:val="20"/>
        </w:rPr>
        <w:t xml:space="preserve"> implement./.</w:t>
      </w:r>
    </w:p>
    <w:sectPr w:rsidR="00200F6B" w:rsidRPr="00CA2159" w:rsidSect="00CA215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977"/>
    <w:multiLevelType w:val="multilevel"/>
    <w:tmpl w:val="A79A5C52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47B3DD7"/>
    <w:multiLevelType w:val="multilevel"/>
    <w:tmpl w:val="591015C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6B"/>
    <w:rsid w:val="00200F6B"/>
    <w:rsid w:val="00C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08EEA"/>
  <w15:docId w15:val="{226CA185-1413-4773-8434-878C7D40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clc0">
    <w:name w:val="Mục lục"/>
    <w:basedOn w:val="Normal"/>
    <w:link w:val="Mclc"/>
    <w:pPr>
      <w:spacing w:line="226" w:lineRule="auto"/>
      <w:ind w:left="17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336" w:lineRule="auto"/>
      <w:ind w:left="3270" w:firstLine="1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left="116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j7Bn6rXJven6dADfplqmZ17xw==">CgMxLjA4AHIhMWotUmstdE5PVDFQNHFPQkNSOUtIM3JwWHVrNHJuSFF2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1607</Characters>
  <Application>Microsoft Office Word</Application>
  <DocSecurity>0</DocSecurity>
  <Lines>28</Lines>
  <Paragraphs>15</Paragraphs>
  <ScaleCrop>false</ScaleCrop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2024-07-31T04:00:00Z</dcterms:created>
  <dcterms:modified xsi:type="dcterms:W3CDTF">2024-07-31T09:59:00Z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ae4360a5b1563a8b3c86c0297dc8c9566bd2165658845e56be319c4e08147f6d</vt:lpwstr>
  </property>
</Properties>
</file>