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E0AD2" w:rsidRPr="008B5BD5" w:rsidRDefault="001379A8" w:rsidP="0013396C">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8B5BD5">
        <w:rPr>
          <w:rFonts w:ascii="Arial" w:hAnsi="Arial" w:cs="Arial"/>
          <w:b/>
          <w:color w:val="010000"/>
          <w:sz w:val="20"/>
        </w:rPr>
        <w:t>HGM: Board Resolution</w:t>
      </w:r>
      <w:bookmarkStart w:id="0" w:name="_GoBack"/>
      <w:bookmarkEnd w:id="0"/>
    </w:p>
    <w:p w14:paraId="00000002" w14:textId="09EF51B0" w:rsidR="002E0AD2" w:rsidRPr="008B5BD5" w:rsidRDefault="001379A8" w:rsidP="0013396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B5BD5">
        <w:rPr>
          <w:rFonts w:ascii="Arial" w:hAnsi="Arial" w:cs="Arial"/>
          <w:color w:val="010000"/>
          <w:sz w:val="20"/>
        </w:rPr>
        <w:t xml:space="preserve">On August 9, 2024, Ha Giang Mineral and Mechanics JSC announced Resolution </w:t>
      </w:r>
      <w:r w:rsidR="008B5BD5" w:rsidRPr="008B5BD5">
        <w:rPr>
          <w:rFonts w:ascii="Arial" w:hAnsi="Arial" w:cs="Arial"/>
          <w:color w:val="010000"/>
          <w:sz w:val="20"/>
        </w:rPr>
        <w:t xml:space="preserve">No. </w:t>
      </w:r>
      <w:r w:rsidRPr="008B5BD5">
        <w:rPr>
          <w:rFonts w:ascii="Arial" w:hAnsi="Arial" w:cs="Arial"/>
          <w:color w:val="010000"/>
          <w:sz w:val="20"/>
        </w:rPr>
        <w:t>44/NQ-HDQT on approving the plan on selling treasury shares as follows:</w:t>
      </w:r>
    </w:p>
    <w:p w14:paraId="00000003" w14:textId="77777777" w:rsidR="002E0AD2" w:rsidRPr="008B5BD5" w:rsidRDefault="001379A8" w:rsidP="0013396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B5BD5">
        <w:rPr>
          <w:rFonts w:ascii="Arial" w:hAnsi="Arial" w:cs="Arial"/>
          <w:color w:val="010000"/>
          <w:sz w:val="20"/>
        </w:rPr>
        <w:t>Article 1: Approve the plan on selling treasury shares of the Company as follows:</w:t>
      </w:r>
    </w:p>
    <w:p w14:paraId="00000004" w14:textId="77777777" w:rsidR="002E0AD2" w:rsidRPr="008B5BD5" w:rsidRDefault="001379A8" w:rsidP="0013396C">
      <w:pPr>
        <w:numPr>
          <w:ilvl w:val="0"/>
          <w:numId w:val="1"/>
        </w:numPr>
        <w:pBdr>
          <w:top w:val="nil"/>
          <w:left w:val="nil"/>
          <w:bottom w:val="nil"/>
          <w:right w:val="nil"/>
          <w:between w:val="nil"/>
        </w:pBdr>
        <w:tabs>
          <w:tab w:val="left" w:pos="432"/>
          <w:tab w:val="left" w:pos="2182"/>
        </w:tabs>
        <w:spacing w:after="120" w:line="360" w:lineRule="auto"/>
        <w:jc w:val="both"/>
        <w:rPr>
          <w:rFonts w:ascii="Arial" w:eastAsia="Arial" w:hAnsi="Arial" w:cs="Arial"/>
          <w:color w:val="010000"/>
          <w:sz w:val="20"/>
          <w:szCs w:val="20"/>
        </w:rPr>
      </w:pPr>
      <w:r w:rsidRPr="008B5BD5">
        <w:rPr>
          <w:rFonts w:ascii="Arial" w:hAnsi="Arial" w:cs="Arial"/>
          <w:color w:val="010000"/>
          <w:sz w:val="20"/>
        </w:rPr>
        <w:t>Total treasury shares owned before transaction: 679,280 shares</w:t>
      </w:r>
    </w:p>
    <w:p w14:paraId="00000005" w14:textId="77777777" w:rsidR="002E0AD2" w:rsidRPr="008B5BD5" w:rsidRDefault="001379A8" w:rsidP="0013396C">
      <w:pPr>
        <w:numPr>
          <w:ilvl w:val="0"/>
          <w:numId w:val="1"/>
        </w:numPr>
        <w:pBdr>
          <w:top w:val="nil"/>
          <w:left w:val="nil"/>
          <w:bottom w:val="nil"/>
          <w:right w:val="nil"/>
          <w:between w:val="nil"/>
        </w:pBdr>
        <w:tabs>
          <w:tab w:val="left" w:pos="432"/>
          <w:tab w:val="left" w:pos="2172"/>
        </w:tabs>
        <w:spacing w:after="120" w:line="360" w:lineRule="auto"/>
        <w:jc w:val="both"/>
        <w:rPr>
          <w:rFonts w:ascii="Arial" w:eastAsia="Arial" w:hAnsi="Arial" w:cs="Arial"/>
          <w:color w:val="010000"/>
          <w:sz w:val="20"/>
          <w:szCs w:val="20"/>
        </w:rPr>
      </w:pPr>
      <w:r w:rsidRPr="008B5BD5">
        <w:rPr>
          <w:rFonts w:ascii="Arial" w:hAnsi="Arial" w:cs="Arial"/>
          <w:color w:val="010000"/>
          <w:sz w:val="20"/>
        </w:rPr>
        <w:t>Total number of treasury shares expected to be registered for sale: 679,280 shares</w:t>
      </w:r>
    </w:p>
    <w:p w14:paraId="00000006" w14:textId="77777777" w:rsidR="002E0AD2" w:rsidRPr="008B5BD5" w:rsidRDefault="001379A8" w:rsidP="0013396C">
      <w:pPr>
        <w:numPr>
          <w:ilvl w:val="0"/>
          <w:numId w:val="1"/>
        </w:numPr>
        <w:pBdr>
          <w:top w:val="nil"/>
          <w:left w:val="nil"/>
          <w:bottom w:val="nil"/>
          <w:right w:val="nil"/>
          <w:between w:val="nil"/>
        </w:pBdr>
        <w:tabs>
          <w:tab w:val="left" w:pos="432"/>
          <w:tab w:val="left" w:pos="2177"/>
        </w:tabs>
        <w:spacing w:after="120" w:line="360" w:lineRule="auto"/>
        <w:jc w:val="both"/>
        <w:rPr>
          <w:rFonts w:ascii="Arial" w:eastAsia="Arial" w:hAnsi="Arial" w:cs="Arial"/>
          <w:color w:val="010000"/>
          <w:sz w:val="20"/>
          <w:szCs w:val="20"/>
        </w:rPr>
      </w:pPr>
      <w:r w:rsidRPr="008B5BD5">
        <w:rPr>
          <w:rFonts w:ascii="Arial" w:hAnsi="Arial" w:cs="Arial"/>
          <w:color w:val="010000"/>
          <w:sz w:val="20"/>
        </w:rPr>
        <w:t>Purposes of selling treasury shares: Supplement capital for business activities</w:t>
      </w:r>
    </w:p>
    <w:p w14:paraId="00000007" w14:textId="77777777" w:rsidR="002E0AD2" w:rsidRPr="008B5BD5" w:rsidRDefault="001379A8" w:rsidP="0013396C">
      <w:pPr>
        <w:numPr>
          <w:ilvl w:val="0"/>
          <w:numId w:val="1"/>
        </w:numPr>
        <w:pBdr>
          <w:top w:val="nil"/>
          <w:left w:val="nil"/>
          <w:bottom w:val="nil"/>
          <w:right w:val="nil"/>
          <w:between w:val="nil"/>
        </w:pBdr>
        <w:tabs>
          <w:tab w:val="left" w:pos="432"/>
          <w:tab w:val="left" w:pos="2177"/>
        </w:tabs>
        <w:spacing w:after="120" w:line="360" w:lineRule="auto"/>
        <w:jc w:val="both"/>
        <w:rPr>
          <w:rFonts w:ascii="Arial" w:eastAsia="Arial" w:hAnsi="Arial" w:cs="Arial"/>
          <w:color w:val="010000"/>
          <w:sz w:val="20"/>
          <w:szCs w:val="20"/>
        </w:rPr>
      </w:pPr>
      <w:r w:rsidRPr="008B5BD5">
        <w:rPr>
          <w:rFonts w:ascii="Arial" w:hAnsi="Arial" w:cs="Arial"/>
          <w:color w:val="010000"/>
          <w:sz w:val="20"/>
        </w:rPr>
        <w:t>Expected transaction time: Within 30 days from the date of commencement of the transaction. Transactions are only carried out after the State Securities Commission has notified the receipt of full documents reporting the sale of treasury shares of the Company and the Company has fully implemented the procedures for information disclosure according to regulations on the sale of treasury shares</w:t>
      </w:r>
    </w:p>
    <w:p w14:paraId="00000008" w14:textId="77777777" w:rsidR="002E0AD2" w:rsidRPr="008B5BD5" w:rsidRDefault="001379A8" w:rsidP="0013396C">
      <w:pPr>
        <w:numPr>
          <w:ilvl w:val="0"/>
          <w:numId w:val="1"/>
        </w:numPr>
        <w:pBdr>
          <w:top w:val="nil"/>
          <w:left w:val="nil"/>
          <w:bottom w:val="nil"/>
          <w:right w:val="nil"/>
          <w:between w:val="nil"/>
        </w:pBdr>
        <w:tabs>
          <w:tab w:val="left" w:pos="432"/>
          <w:tab w:val="left" w:pos="2157"/>
        </w:tabs>
        <w:spacing w:after="120" w:line="360" w:lineRule="auto"/>
        <w:jc w:val="both"/>
        <w:rPr>
          <w:rFonts w:ascii="Arial" w:eastAsia="Arial" w:hAnsi="Arial" w:cs="Arial"/>
          <w:color w:val="010000"/>
          <w:sz w:val="20"/>
          <w:szCs w:val="20"/>
        </w:rPr>
      </w:pPr>
      <w:r w:rsidRPr="008B5BD5">
        <w:rPr>
          <w:rFonts w:ascii="Arial" w:hAnsi="Arial" w:cs="Arial"/>
          <w:color w:val="010000"/>
          <w:sz w:val="20"/>
        </w:rPr>
        <w:t>Transaction method: Order-matching and/or put-through transaction</w:t>
      </w:r>
    </w:p>
    <w:p w14:paraId="00000009" w14:textId="7F788FD6" w:rsidR="002E0AD2" w:rsidRPr="008B5BD5" w:rsidRDefault="001379A8" w:rsidP="0013396C">
      <w:pPr>
        <w:numPr>
          <w:ilvl w:val="0"/>
          <w:numId w:val="1"/>
        </w:numPr>
        <w:pBdr>
          <w:top w:val="nil"/>
          <w:left w:val="nil"/>
          <w:bottom w:val="nil"/>
          <w:right w:val="nil"/>
          <w:between w:val="nil"/>
        </w:pBdr>
        <w:tabs>
          <w:tab w:val="left" w:pos="432"/>
          <w:tab w:val="left" w:pos="2177"/>
        </w:tabs>
        <w:spacing w:after="120" w:line="360" w:lineRule="auto"/>
        <w:jc w:val="both"/>
        <w:rPr>
          <w:rFonts w:ascii="Arial" w:eastAsia="Arial" w:hAnsi="Arial" w:cs="Arial"/>
          <w:color w:val="010000"/>
          <w:sz w:val="20"/>
          <w:szCs w:val="20"/>
        </w:rPr>
      </w:pPr>
      <w:r w:rsidRPr="008B5BD5">
        <w:rPr>
          <w:rFonts w:ascii="Arial" w:hAnsi="Arial" w:cs="Arial"/>
          <w:color w:val="010000"/>
          <w:sz w:val="20"/>
        </w:rPr>
        <w:t>Principle of price determination: Sale price for treasury shares ≥ Reference price - (Reference price x 50% of</w:t>
      </w:r>
      <w:r w:rsidR="0079420F" w:rsidRPr="008B5BD5">
        <w:rPr>
          <w:rFonts w:ascii="Arial" w:hAnsi="Arial" w:cs="Arial"/>
          <w:color w:val="010000"/>
          <w:sz w:val="20"/>
        </w:rPr>
        <w:t xml:space="preserve"> </w:t>
      </w:r>
      <w:r w:rsidRPr="008B5BD5">
        <w:rPr>
          <w:rFonts w:ascii="Arial" w:hAnsi="Arial" w:cs="Arial"/>
          <w:color w:val="010000"/>
          <w:sz w:val="20"/>
        </w:rPr>
        <w:t>the share price fluctuation range)</w:t>
      </w:r>
    </w:p>
    <w:p w14:paraId="0000000A" w14:textId="638EA51B" w:rsidR="002E0AD2" w:rsidRPr="008B5BD5" w:rsidRDefault="001379A8" w:rsidP="0013396C">
      <w:pPr>
        <w:numPr>
          <w:ilvl w:val="0"/>
          <w:numId w:val="1"/>
        </w:numPr>
        <w:pBdr>
          <w:top w:val="nil"/>
          <w:left w:val="nil"/>
          <w:bottom w:val="nil"/>
          <w:right w:val="nil"/>
          <w:between w:val="nil"/>
        </w:pBdr>
        <w:tabs>
          <w:tab w:val="left" w:pos="432"/>
          <w:tab w:val="left" w:pos="2177"/>
        </w:tabs>
        <w:spacing w:after="120" w:line="360" w:lineRule="auto"/>
        <w:jc w:val="both"/>
        <w:rPr>
          <w:rFonts w:ascii="Arial" w:eastAsia="Arial" w:hAnsi="Arial" w:cs="Arial"/>
          <w:color w:val="010000"/>
          <w:sz w:val="20"/>
          <w:szCs w:val="20"/>
        </w:rPr>
      </w:pPr>
      <w:r w:rsidRPr="008B5BD5">
        <w:rPr>
          <w:rFonts w:ascii="Arial" w:hAnsi="Arial" w:cs="Arial"/>
          <w:color w:val="010000"/>
          <w:sz w:val="20"/>
        </w:rPr>
        <w:t xml:space="preserve">Price (price range): According to the market price at the time of transaction and not lower than VND64,000/share, ensuring compliance with regulations on determining price ranges according to regulations </w:t>
      </w:r>
      <w:r w:rsidR="0079420F" w:rsidRPr="008B5BD5">
        <w:rPr>
          <w:rFonts w:ascii="Arial" w:hAnsi="Arial" w:cs="Arial"/>
          <w:color w:val="010000"/>
          <w:sz w:val="20"/>
        </w:rPr>
        <w:t>at</w:t>
      </w:r>
      <w:r w:rsidRPr="008B5BD5">
        <w:rPr>
          <w:rFonts w:ascii="Arial" w:hAnsi="Arial" w:cs="Arial"/>
          <w:color w:val="010000"/>
          <w:sz w:val="20"/>
        </w:rPr>
        <w:t xml:space="preserve"> current legal documents and according to the securities trading regulations of the Hanoi Stock Exchange</w:t>
      </w:r>
    </w:p>
    <w:p w14:paraId="0000000B" w14:textId="2E250794" w:rsidR="002E0AD2" w:rsidRPr="008B5BD5" w:rsidRDefault="001379A8" w:rsidP="0013396C">
      <w:pPr>
        <w:numPr>
          <w:ilvl w:val="0"/>
          <w:numId w:val="1"/>
        </w:numPr>
        <w:pBdr>
          <w:top w:val="nil"/>
          <w:left w:val="nil"/>
          <w:bottom w:val="nil"/>
          <w:right w:val="nil"/>
          <w:between w:val="nil"/>
        </w:pBdr>
        <w:tabs>
          <w:tab w:val="left" w:pos="432"/>
          <w:tab w:val="left" w:pos="2211"/>
        </w:tabs>
        <w:spacing w:after="120" w:line="360" w:lineRule="auto"/>
        <w:jc w:val="both"/>
        <w:rPr>
          <w:rFonts w:ascii="Arial" w:eastAsia="Arial" w:hAnsi="Arial" w:cs="Arial"/>
          <w:color w:val="010000"/>
          <w:sz w:val="20"/>
          <w:szCs w:val="20"/>
        </w:rPr>
      </w:pPr>
      <w:r w:rsidRPr="008B5BD5">
        <w:rPr>
          <w:rFonts w:ascii="Arial" w:hAnsi="Arial" w:cs="Arial"/>
          <w:color w:val="010000"/>
          <w:sz w:val="20"/>
        </w:rPr>
        <w:t xml:space="preserve">Number of daily orders: In every transaction day, the total number of daily sale </w:t>
      </w:r>
      <w:r w:rsidR="008B5BD5" w:rsidRPr="008B5BD5">
        <w:rPr>
          <w:rFonts w:ascii="Arial" w:hAnsi="Arial" w:cs="Arial"/>
          <w:color w:val="010000"/>
          <w:sz w:val="20"/>
        </w:rPr>
        <w:t>orders</w:t>
      </w:r>
      <w:r w:rsidRPr="008B5BD5">
        <w:rPr>
          <w:rFonts w:ascii="Arial" w:hAnsi="Arial" w:cs="Arial"/>
          <w:color w:val="010000"/>
          <w:sz w:val="20"/>
        </w:rPr>
        <w:t xml:space="preserve"> is 3% at minimum and 10% at maximum of transaction amount registered at State Securities Commission (sale order amount does not include the amount of order cancellation and this regulation will be dismissed if the remaining sale amount is less than 3%)</w:t>
      </w:r>
    </w:p>
    <w:p w14:paraId="0000000C" w14:textId="5DA09680" w:rsidR="002E0AD2" w:rsidRPr="008B5BD5" w:rsidRDefault="001379A8" w:rsidP="0013396C">
      <w:pPr>
        <w:numPr>
          <w:ilvl w:val="0"/>
          <w:numId w:val="1"/>
        </w:numPr>
        <w:pBdr>
          <w:top w:val="nil"/>
          <w:left w:val="nil"/>
          <w:bottom w:val="nil"/>
          <w:right w:val="nil"/>
          <w:between w:val="nil"/>
        </w:pBdr>
        <w:tabs>
          <w:tab w:val="left" w:pos="432"/>
          <w:tab w:val="left" w:pos="2211"/>
        </w:tabs>
        <w:spacing w:after="120" w:line="360" w:lineRule="auto"/>
        <w:jc w:val="both"/>
        <w:rPr>
          <w:rFonts w:ascii="Arial" w:eastAsia="Arial" w:hAnsi="Arial" w:cs="Arial"/>
          <w:color w:val="010000"/>
          <w:sz w:val="20"/>
          <w:szCs w:val="20"/>
        </w:rPr>
      </w:pPr>
      <w:r w:rsidRPr="008B5BD5">
        <w:rPr>
          <w:rFonts w:ascii="Arial" w:hAnsi="Arial" w:cs="Arial"/>
          <w:color w:val="010000"/>
          <w:sz w:val="20"/>
        </w:rPr>
        <w:t xml:space="preserve">Securities company designated as </w:t>
      </w:r>
      <w:r w:rsidR="008B5BD5" w:rsidRPr="008B5BD5">
        <w:rPr>
          <w:rFonts w:ascii="Arial" w:hAnsi="Arial" w:cs="Arial"/>
          <w:color w:val="010000"/>
          <w:sz w:val="20"/>
        </w:rPr>
        <w:t xml:space="preserve">the </w:t>
      </w:r>
      <w:r w:rsidRPr="008B5BD5">
        <w:rPr>
          <w:rFonts w:ascii="Arial" w:hAnsi="Arial" w:cs="Arial"/>
          <w:color w:val="010000"/>
          <w:sz w:val="20"/>
        </w:rPr>
        <w:t xml:space="preserve">agent to implement treasury </w:t>
      </w:r>
      <w:r w:rsidR="0079420F" w:rsidRPr="008B5BD5">
        <w:rPr>
          <w:rFonts w:ascii="Arial" w:hAnsi="Arial" w:cs="Arial"/>
          <w:color w:val="010000"/>
          <w:sz w:val="20"/>
        </w:rPr>
        <w:t>shares</w:t>
      </w:r>
      <w:r w:rsidRPr="008B5BD5">
        <w:rPr>
          <w:rFonts w:ascii="Arial" w:hAnsi="Arial" w:cs="Arial"/>
          <w:color w:val="010000"/>
          <w:sz w:val="20"/>
        </w:rPr>
        <w:t xml:space="preserve"> sale transactions: </w:t>
      </w:r>
      <w:proofErr w:type="spellStart"/>
      <w:r w:rsidRPr="008B5BD5">
        <w:rPr>
          <w:rFonts w:ascii="Arial" w:hAnsi="Arial" w:cs="Arial"/>
          <w:color w:val="010000"/>
          <w:sz w:val="20"/>
        </w:rPr>
        <w:t>Vietcap</w:t>
      </w:r>
      <w:proofErr w:type="spellEnd"/>
      <w:r w:rsidRPr="008B5BD5">
        <w:rPr>
          <w:rFonts w:ascii="Arial" w:hAnsi="Arial" w:cs="Arial"/>
          <w:color w:val="010000"/>
          <w:sz w:val="20"/>
        </w:rPr>
        <w:t xml:space="preserve"> Securities Joint Stock Company</w:t>
      </w:r>
    </w:p>
    <w:p w14:paraId="0000000D" w14:textId="77777777" w:rsidR="002E0AD2" w:rsidRPr="008B5BD5" w:rsidRDefault="001379A8" w:rsidP="0013396C">
      <w:pPr>
        <w:numPr>
          <w:ilvl w:val="0"/>
          <w:numId w:val="1"/>
        </w:numPr>
        <w:pBdr>
          <w:top w:val="nil"/>
          <w:left w:val="nil"/>
          <w:bottom w:val="nil"/>
          <w:right w:val="nil"/>
          <w:between w:val="nil"/>
        </w:pBdr>
        <w:tabs>
          <w:tab w:val="left" w:pos="432"/>
          <w:tab w:val="left" w:pos="2211"/>
        </w:tabs>
        <w:spacing w:after="120" w:line="360" w:lineRule="auto"/>
        <w:jc w:val="both"/>
        <w:rPr>
          <w:rFonts w:ascii="Arial" w:eastAsia="Arial" w:hAnsi="Arial" w:cs="Arial"/>
          <w:color w:val="010000"/>
          <w:sz w:val="20"/>
          <w:szCs w:val="20"/>
        </w:rPr>
      </w:pPr>
      <w:r w:rsidRPr="008B5BD5">
        <w:rPr>
          <w:rFonts w:ascii="Arial" w:hAnsi="Arial" w:cs="Arial"/>
          <w:color w:val="010000"/>
          <w:sz w:val="20"/>
        </w:rPr>
        <w:t>Transaction account: 068C606868</w:t>
      </w:r>
    </w:p>
    <w:p w14:paraId="0000000E" w14:textId="77777777" w:rsidR="002E0AD2" w:rsidRPr="008B5BD5" w:rsidRDefault="001379A8" w:rsidP="0013396C">
      <w:pPr>
        <w:numPr>
          <w:ilvl w:val="0"/>
          <w:numId w:val="1"/>
        </w:numPr>
        <w:pBdr>
          <w:top w:val="nil"/>
          <w:left w:val="nil"/>
          <w:bottom w:val="nil"/>
          <w:right w:val="nil"/>
          <w:between w:val="nil"/>
        </w:pBdr>
        <w:tabs>
          <w:tab w:val="left" w:pos="432"/>
          <w:tab w:val="left" w:pos="2211"/>
        </w:tabs>
        <w:spacing w:after="120" w:line="360" w:lineRule="auto"/>
        <w:jc w:val="both"/>
        <w:rPr>
          <w:rFonts w:ascii="Arial" w:eastAsia="Arial" w:hAnsi="Arial" w:cs="Arial"/>
          <w:color w:val="010000"/>
          <w:sz w:val="20"/>
          <w:szCs w:val="20"/>
        </w:rPr>
      </w:pPr>
      <w:r w:rsidRPr="008B5BD5">
        <w:rPr>
          <w:rFonts w:ascii="Arial" w:hAnsi="Arial" w:cs="Arial"/>
          <w:color w:val="010000"/>
          <w:sz w:val="20"/>
        </w:rPr>
        <w:t>Other contents are carried out in accordance with current legal regulations.</w:t>
      </w:r>
    </w:p>
    <w:p w14:paraId="0000000F" w14:textId="5AA671A2" w:rsidR="002E0AD2" w:rsidRPr="008B5BD5" w:rsidRDefault="001379A8" w:rsidP="0013396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B5BD5">
        <w:rPr>
          <w:rFonts w:ascii="Arial" w:hAnsi="Arial" w:cs="Arial"/>
          <w:color w:val="010000"/>
          <w:sz w:val="20"/>
        </w:rPr>
        <w:t>Article 2: The Board of Directors assigned and authorized the Manager of the Com</w:t>
      </w:r>
      <w:r w:rsidR="0079420F" w:rsidRPr="008B5BD5">
        <w:rPr>
          <w:rFonts w:ascii="Arial" w:hAnsi="Arial" w:cs="Arial"/>
          <w:color w:val="010000"/>
          <w:sz w:val="20"/>
        </w:rPr>
        <w:t>pany</w:t>
      </w:r>
      <w:r w:rsidRPr="008B5BD5">
        <w:rPr>
          <w:rFonts w:ascii="Arial" w:hAnsi="Arial" w:cs="Arial"/>
          <w:color w:val="010000"/>
          <w:sz w:val="20"/>
        </w:rPr>
        <w:t xml:space="preserve"> to:</w:t>
      </w:r>
    </w:p>
    <w:p w14:paraId="00000010" w14:textId="20085A27" w:rsidR="002E0AD2" w:rsidRPr="008B5BD5" w:rsidRDefault="001379A8" w:rsidP="0013396C">
      <w:pPr>
        <w:numPr>
          <w:ilvl w:val="0"/>
          <w:numId w:val="1"/>
        </w:numPr>
        <w:pBdr>
          <w:top w:val="nil"/>
          <w:left w:val="nil"/>
          <w:bottom w:val="nil"/>
          <w:right w:val="nil"/>
          <w:between w:val="nil"/>
        </w:pBdr>
        <w:tabs>
          <w:tab w:val="left" w:pos="432"/>
          <w:tab w:val="left" w:pos="2211"/>
        </w:tabs>
        <w:spacing w:after="120" w:line="360" w:lineRule="auto"/>
        <w:jc w:val="both"/>
        <w:rPr>
          <w:rFonts w:ascii="Arial" w:eastAsia="Arial" w:hAnsi="Arial" w:cs="Arial"/>
          <w:color w:val="010000"/>
          <w:sz w:val="20"/>
          <w:szCs w:val="20"/>
        </w:rPr>
      </w:pPr>
      <w:r w:rsidRPr="008B5BD5">
        <w:rPr>
          <w:rFonts w:ascii="Arial" w:hAnsi="Arial" w:cs="Arial"/>
          <w:color w:val="010000"/>
          <w:sz w:val="20"/>
        </w:rPr>
        <w:t xml:space="preserve">Organize and implement necessary tasks and procedures, sign contracts and related documents to carry out the sale of treasury </w:t>
      </w:r>
      <w:r w:rsidR="0079420F" w:rsidRPr="008B5BD5">
        <w:rPr>
          <w:rFonts w:ascii="Arial" w:hAnsi="Arial" w:cs="Arial"/>
          <w:color w:val="010000"/>
          <w:sz w:val="20"/>
        </w:rPr>
        <w:t>shares</w:t>
      </w:r>
      <w:r w:rsidRPr="008B5BD5">
        <w:rPr>
          <w:rFonts w:ascii="Arial" w:hAnsi="Arial" w:cs="Arial"/>
          <w:color w:val="010000"/>
          <w:sz w:val="20"/>
        </w:rPr>
        <w:t xml:space="preserve"> according to the Plan approved by the Board of Directors, report to the Board of Directors the results of treasury share transactions in accordance with the provisions of law;</w:t>
      </w:r>
    </w:p>
    <w:p w14:paraId="00000011" w14:textId="77777777" w:rsidR="002E0AD2" w:rsidRPr="008B5BD5" w:rsidRDefault="001379A8" w:rsidP="0013396C">
      <w:pPr>
        <w:numPr>
          <w:ilvl w:val="0"/>
          <w:numId w:val="1"/>
        </w:numPr>
        <w:pBdr>
          <w:top w:val="nil"/>
          <w:left w:val="nil"/>
          <w:bottom w:val="nil"/>
          <w:right w:val="nil"/>
          <w:between w:val="nil"/>
        </w:pBdr>
        <w:tabs>
          <w:tab w:val="left" w:pos="432"/>
          <w:tab w:val="left" w:pos="2211"/>
        </w:tabs>
        <w:spacing w:after="120" w:line="360" w:lineRule="auto"/>
        <w:jc w:val="both"/>
        <w:rPr>
          <w:rFonts w:ascii="Arial" w:eastAsia="Arial" w:hAnsi="Arial" w:cs="Arial"/>
          <w:color w:val="010000"/>
          <w:sz w:val="20"/>
          <w:szCs w:val="20"/>
        </w:rPr>
      </w:pPr>
      <w:r w:rsidRPr="008B5BD5">
        <w:rPr>
          <w:rFonts w:ascii="Arial" w:hAnsi="Arial" w:cs="Arial"/>
          <w:color w:val="010000"/>
          <w:sz w:val="20"/>
        </w:rPr>
        <w:t>Decide specifically on the time, quantity and selling price when carrying out treasury share sale transactions according to the contents stated in Article 1 of this Resolution, ensuring compliance with current legal regulations and the highest benefits for the Company.</w:t>
      </w:r>
    </w:p>
    <w:p w14:paraId="00000012" w14:textId="7F02ABF4" w:rsidR="002E0AD2" w:rsidRPr="008B5BD5" w:rsidRDefault="001379A8" w:rsidP="0013396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B5BD5">
        <w:rPr>
          <w:rFonts w:ascii="Arial" w:hAnsi="Arial" w:cs="Arial"/>
          <w:color w:val="010000"/>
          <w:sz w:val="20"/>
        </w:rPr>
        <w:lastRenderedPageBreak/>
        <w:t xml:space="preserve">Article 3: The Board of Directors, </w:t>
      </w:r>
      <w:r w:rsidR="0079420F" w:rsidRPr="008B5BD5">
        <w:rPr>
          <w:rFonts w:ascii="Arial" w:hAnsi="Arial" w:cs="Arial"/>
          <w:color w:val="010000"/>
          <w:sz w:val="20"/>
        </w:rPr>
        <w:t xml:space="preserve">the Board of Managers </w:t>
      </w:r>
      <w:r w:rsidRPr="008B5BD5">
        <w:rPr>
          <w:rFonts w:ascii="Arial" w:hAnsi="Arial" w:cs="Arial"/>
          <w:color w:val="010000"/>
          <w:sz w:val="20"/>
        </w:rPr>
        <w:t xml:space="preserve">and relevant departments and </w:t>
      </w:r>
      <w:r w:rsidR="0079420F" w:rsidRPr="008B5BD5">
        <w:rPr>
          <w:rFonts w:ascii="Arial" w:hAnsi="Arial" w:cs="Arial"/>
          <w:color w:val="010000"/>
          <w:sz w:val="20"/>
        </w:rPr>
        <w:t>divisions</w:t>
      </w:r>
      <w:r w:rsidRPr="008B5BD5">
        <w:rPr>
          <w:rFonts w:ascii="Arial" w:hAnsi="Arial" w:cs="Arial"/>
          <w:color w:val="010000"/>
          <w:sz w:val="20"/>
        </w:rPr>
        <w:t xml:space="preserve"> are responsible for implementing this Resolution.</w:t>
      </w:r>
    </w:p>
    <w:p w14:paraId="00000013" w14:textId="77777777" w:rsidR="002E0AD2" w:rsidRPr="008B5BD5" w:rsidRDefault="001379A8" w:rsidP="0013396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B5BD5">
        <w:rPr>
          <w:rFonts w:ascii="Arial" w:hAnsi="Arial" w:cs="Arial"/>
          <w:color w:val="010000"/>
          <w:sz w:val="20"/>
        </w:rPr>
        <w:t>This Resolution takes effect from the date of signing.</w:t>
      </w:r>
    </w:p>
    <w:sectPr w:rsidR="002E0AD2" w:rsidRPr="008B5BD5" w:rsidSect="008B5BD5">
      <w:headerReference w:type="default" r:id="rId8"/>
      <w:pgSz w:w="11907" w:h="16839"/>
      <w:pgMar w:top="1440" w:right="1440" w:bottom="1440" w:left="1440" w:header="0" w:footer="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DE4FB" w14:textId="77777777" w:rsidR="00907C55" w:rsidRDefault="00907C55">
      <w:r>
        <w:separator/>
      </w:r>
    </w:p>
  </w:endnote>
  <w:endnote w:type="continuationSeparator" w:id="0">
    <w:p w14:paraId="3E360C94" w14:textId="77777777" w:rsidR="00907C55" w:rsidRDefault="0090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327FB" w14:textId="77777777" w:rsidR="00907C55" w:rsidRDefault="00907C55">
      <w:r>
        <w:separator/>
      </w:r>
    </w:p>
  </w:footnote>
  <w:footnote w:type="continuationSeparator" w:id="0">
    <w:p w14:paraId="49D359C2" w14:textId="77777777" w:rsidR="00907C55" w:rsidRDefault="00907C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5" w14:textId="77777777" w:rsidR="002E0AD2" w:rsidRDefault="002E0AD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07D80"/>
    <w:multiLevelType w:val="multilevel"/>
    <w:tmpl w:val="E806F3B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D2"/>
    <w:rsid w:val="0013396C"/>
    <w:rsid w:val="001379A8"/>
    <w:rsid w:val="002E0AD2"/>
    <w:rsid w:val="00394E41"/>
    <w:rsid w:val="0079420F"/>
    <w:rsid w:val="008241B1"/>
    <w:rsid w:val="008B5BD5"/>
    <w:rsid w:val="00907C55"/>
    <w:rsid w:val="00A47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F248A"/>
  <w15:docId w15:val="{41193880-4B9F-4DE1-94AC-A93A14A8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9"/>
      <w:szCs w:val="9"/>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strike w:val="0"/>
      <w:color w:val="A9667D"/>
      <w:sz w:val="32"/>
      <w:szCs w:val="32"/>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val="0"/>
      <w:bCs w:val="0"/>
      <w:i w:val="0"/>
      <w:iCs w:val="0"/>
      <w:smallCaps/>
      <w:strike w:val="0"/>
      <w:color w:val="A9667D"/>
      <w:sz w:val="32"/>
      <w:szCs w:val="32"/>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13"/>
      <w:szCs w:val="13"/>
      <w:u w:val="none"/>
      <w:shd w:val="clear" w:color="auto" w:fill="auto"/>
    </w:rPr>
  </w:style>
  <w:style w:type="paragraph" w:customStyle="1" w:styleId="Vnbnnidung20">
    <w:name w:val="Văn bản nội dung (2)"/>
    <w:basedOn w:val="Normal"/>
    <w:link w:val="Vnbnnidung2"/>
    <w:pPr>
      <w:ind w:firstLine="180"/>
    </w:pPr>
    <w:rPr>
      <w:rFonts w:ascii="Arial" w:eastAsia="Arial" w:hAnsi="Arial" w:cs="Arial"/>
      <w:sz w:val="9"/>
      <w:szCs w:val="9"/>
    </w:rPr>
  </w:style>
  <w:style w:type="paragraph" w:customStyle="1" w:styleId="Vnbnnidung0">
    <w:name w:val="Văn bản nội dung"/>
    <w:basedOn w:val="Normal"/>
    <w:link w:val="Vnbnnidung"/>
    <w:pPr>
      <w:spacing w:line="314" w:lineRule="auto"/>
    </w:pPr>
    <w:rPr>
      <w:rFonts w:ascii="Times New Roman" w:eastAsia="Times New Roman" w:hAnsi="Times New Roman" w:cs="Times New Roman"/>
    </w:rPr>
  </w:style>
  <w:style w:type="paragraph" w:customStyle="1" w:styleId="Vnbnnidung30">
    <w:name w:val="Văn bản nội dung (3)"/>
    <w:basedOn w:val="Normal"/>
    <w:link w:val="Vnbnnidung3"/>
    <w:rPr>
      <w:rFonts w:ascii="Times New Roman" w:eastAsia="Times New Roman" w:hAnsi="Times New Roman" w:cs="Times New Roman"/>
      <w:sz w:val="20"/>
      <w:szCs w:val="20"/>
    </w:rPr>
  </w:style>
  <w:style w:type="paragraph" w:customStyle="1" w:styleId="Tiu10">
    <w:name w:val="Tiêu đề #1"/>
    <w:basedOn w:val="Normal"/>
    <w:link w:val="Tiu1"/>
    <w:pPr>
      <w:jc w:val="right"/>
      <w:outlineLvl w:val="0"/>
    </w:pPr>
    <w:rPr>
      <w:rFonts w:ascii="Times New Roman" w:eastAsia="Times New Roman" w:hAnsi="Times New Roman" w:cs="Times New Roman"/>
      <w:smallCaps/>
      <w:color w:val="A9667D"/>
      <w:sz w:val="32"/>
      <w:szCs w:val="32"/>
    </w:rPr>
  </w:style>
  <w:style w:type="paragraph" w:customStyle="1" w:styleId="Tiu20">
    <w:name w:val="Tiêu đề #2"/>
    <w:basedOn w:val="Normal"/>
    <w:link w:val="Tiu2"/>
    <w:pPr>
      <w:spacing w:line="180" w:lineRule="auto"/>
      <w:jc w:val="right"/>
      <w:outlineLvl w:val="1"/>
    </w:pPr>
    <w:rPr>
      <w:rFonts w:ascii="Times New Roman" w:eastAsia="Times New Roman" w:hAnsi="Times New Roman" w:cs="Times New Roman"/>
      <w:smallCaps/>
      <w:color w:val="A9667D"/>
      <w:sz w:val="32"/>
      <w:szCs w:val="32"/>
    </w:rPr>
  </w:style>
  <w:style w:type="paragraph" w:customStyle="1" w:styleId="Vnbnnidung40">
    <w:name w:val="Văn bản nội dung (4)"/>
    <w:basedOn w:val="Normal"/>
    <w:link w:val="Vnbnnidung4"/>
    <w:pPr>
      <w:jc w:val="right"/>
    </w:pPr>
    <w:rPr>
      <w:rFonts w:ascii="Arial" w:eastAsia="Arial" w:hAnsi="Arial" w:cs="Arial"/>
      <w:sz w:val="13"/>
      <w:szCs w:val="13"/>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gIaQOrwTsS2HBkN/fXgGFZKBLg==">CgMxLjA4AHIhMVhvRnZRWUxnZFpiekU2QXhyMlFVS09fMTdWR2NzTnJ5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2024-08-12T03:39:00Z</dcterms:created>
  <dcterms:modified xsi:type="dcterms:W3CDTF">2024-08-13T04:16:00Z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3a0ad681b5b8ff72de2af3f3ed60cdb6faa1a5ca323979e229ee8dc3225c2852</vt:lpwstr>
  </property>
</Properties>
</file>