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E6" w:rsidRPr="00145326" w:rsidRDefault="00E45D0E" w:rsidP="00145326">
      <w:pPr>
        <w:pBdr>
          <w:top w:val="nil"/>
          <w:left w:val="nil"/>
          <w:bottom w:val="nil"/>
          <w:right w:val="nil"/>
          <w:between w:val="nil"/>
        </w:pBdr>
        <w:tabs>
          <w:tab w:val="left" w:pos="432"/>
          <w:tab w:val="left" w:pos="1084"/>
        </w:tabs>
        <w:spacing w:after="120" w:line="360" w:lineRule="auto"/>
        <w:jc w:val="both"/>
        <w:rPr>
          <w:rFonts w:ascii="Arial" w:eastAsia="Arial" w:hAnsi="Arial" w:cs="Arial"/>
          <w:b/>
          <w:color w:val="010000"/>
          <w:sz w:val="20"/>
          <w:szCs w:val="20"/>
        </w:rPr>
      </w:pPr>
      <w:r w:rsidRPr="00145326">
        <w:rPr>
          <w:rFonts w:ascii="Arial" w:hAnsi="Arial" w:cs="Arial"/>
          <w:b/>
          <w:bCs/>
          <w:color w:val="010000"/>
          <w:sz w:val="20"/>
          <w:szCs w:val="20"/>
        </w:rPr>
        <w:t>C21:</w:t>
      </w:r>
      <w:r w:rsidRPr="00145326">
        <w:rPr>
          <w:rFonts w:ascii="Arial" w:hAnsi="Arial" w:cs="Arial"/>
          <w:b/>
          <w:color w:val="010000"/>
          <w:sz w:val="20"/>
          <w:szCs w:val="20"/>
        </w:rPr>
        <w:t xml:space="preserve"> Annual General Mandate 2024</w:t>
      </w:r>
    </w:p>
    <w:p w:rsidR="001548E6" w:rsidRPr="00145326" w:rsidRDefault="00E45D0E" w:rsidP="00145326">
      <w:pPr>
        <w:pBdr>
          <w:top w:val="nil"/>
          <w:left w:val="nil"/>
          <w:bottom w:val="nil"/>
          <w:right w:val="nil"/>
          <w:between w:val="nil"/>
        </w:pBdr>
        <w:tabs>
          <w:tab w:val="left" w:pos="432"/>
          <w:tab w:val="left" w:pos="1084"/>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On August 12, 2024, Century 21 Joint Stock Company announced General Mandate No. 01/2024/NQ-DHDCD as follows:</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Article 1: Approve the Report on production and business results in 2023 and the plan for 2024.</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Article 2: Approve the Report of the Board of Directors</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Article 3: Approve the Report of the Internal Audit Department.</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Article 4: Approve the Proposal on annual issues, specifically:</w:t>
      </w:r>
    </w:p>
    <w:p w:rsidR="001548E6" w:rsidRPr="00145326" w:rsidRDefault="00E45D0E" w:rsidP="00145326">
      <w:pPr>
        <w:numPr>
          <w:ilvl w:val="0"/>
          <w:numId w:val="1"/>
        </w:numPr>
        <w:pBdr>
          <w:top w:val="nil"/>
          <w:left w:val="nil"/>
          <w:bottom w:val="nil"/>
          <w:right w:val="nil"/>
          <w:between w:val="nil"/>
        </w:pBdr>
        <w:tabs>
          <w:tab w:val="left" w:pos="432"/>
          <w:tab w:val="left" w:pos="885"/>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 xml:space="preserve">Approve the business results in 2023, the Audited Separate Financial Statements, Consolidated Financial Statements 2023 of the Company disclosed according to regulations, at the same time, posted on the Company's website along with the figures and production - business - transaction - investment - finance activities, etc. have been implemented and shown in these Financial Statements. </w:t>
      </w:r>
    </w:p>
    <w:p w:rsidR="001548E6" w:rsidRPr="00145326" w:rsidRDefault="00E45D0E" w:rsidP="00145326">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145326">
        <w:rPr>
          <w:rFonts w:ascii="Arial" w:hAnsi="Arial" w:cs="Arial"/>
          <w:color w:val="010000"/>
          <w:sz w:val="20"/>
          <w:szCs w:val="20"/>
        </w:rPr>
        <w:t xml:space="preserve"> Business results and consolidated financial figures in 2023 (audited)</w:t>
      </w:r>
    </w:p>
    <w:p w:rsidR="001548E6" w:rsidRPr="009C2830" w:rsidRDefault="00E45D0E" w:rsidP="009C2830">
      <w:pPr>
        <w:pBdr>
          <w:top w:val="nil"/>
          <w:left w:val="nil"/>
          <w:bottom w:val="nil"/>
          <w:right w:val="nil"/>
          <w:between w:val="nil"/>
        </w:pBdr>
        <w:tabs>
          <w:tab w:val="left" w:pos="432"/>
        </w:tabs>
        <w:spacing w:after="120" w:line="360" w:lineRule="auto"/>
        <w:jc w:val="right"/>
        <w:rPr>
          <w:rFonts w:ascii="Arial" w:eastAsia="Arial" w:hAnsi="Arial" w:cs="Arial"/>
          <w:i/>
          <w:color w:val="010000"/>
          <w:sz w:val="20"/>
          <w:szCs w:val="20"/>
        </w:rPr>
      </w:pPr>
      <w:r w:rsidRPr="009C2830">
        <w:rPr>
          <w:rFonts w:ascii="Arial" w:hAnsi="Arial" w:cs="Arial"/>
          <w:i/>
          <w:color w:val="010000"/>
          <w:sz w:val="20"/>
          <w:szCs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5"/>
        <w:gridCol w:w="3129"/>
        <w:gridCol w:w="2680"/>
        <w:gridCol w:w="2673"/>
      </w:tblGrid>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No.</w:t>
            </w:r>
          </w:p>
        </w:tc>
        <w:tc>
          <w:tcPr>
            <w:tcW w:w="1735"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Targets</w:t>
            </w:r>
          </w:p>
        </w:tc>
        <w:tc>
          <w:tcPr>
            <w:tcW w:w="1486"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2023</w:t>
            </w:r>
          </w:p>
        </w:tc>
        <w:tc>
          <w:tcPr>
            <w:tcW w:w="148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2022</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1</w:t>
            </w:r>
          </w:p>
        </w:tc>
        <w:tc>
          <w:tcPr>
            <w:tcW w:w="1735"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Total assets</w:t>
            </w:r>
          </w:p>
        </w:tc>
        <w:tc>
          <w:tcPr>
            <w:tcW w:w="1486"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843,129,566,664</w:t>
            </w:r>
          </w:p>
        </w:tc>
        <w:tc>
          <w:tcPr>
            <w:tcW w:w="148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798,918,485,368</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2</w:t>
            </w:r>
          </w:p>
        </w:tc>
        <w:tc>
          <w:tcPr>
            <w:tcW w:w="1735"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Owners’ equity</w:t>
            </w:r>
          </w:p>
        </w:tc>
        <w:tc>
          <w:tcPr>
            <w:tcW w:w="1486"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648,848,362,462</w:t>
            </w:r>
          </w:p>
        </w:tc>
        <w:tc>
          <w:tcPr>
            <w:tcW w:w="148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630,341,323,504</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3</w:t>
            </w:r>
          </w:p>
        </w:tc>
        <w:tc>
          <w:tcPr>
            <w:tcW w:w="1735"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Revenue</w:t>
            </w:r>
          </w:p>
        </w:tc>
        <w:tc>
          <w:tcPr>
            <w:tcW w:w="1486"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79,075,042,297</w:t>
            </w:r>
          </w:p>
        </w:tc>
        <w:tc>
          <w:tcPr>
            <w:tcW w:w="148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67,723,606,048</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4</w:t>
            </w:r>
          </w:p>
        </w:tc>
        <w:tc>
          <w:tcPr>
            <w:tcW w:w="1735"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Profit before tax</w:t>
            </w:r>
          </w:p>
        </w:tc>
        <w:tc>
          <w:tcPr>
            <w:tcW w:w="1486"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16,407,404,552</w:t>
            </w:r>
          </w:p>
        </w:tc>
        <w:tc>
          <w:tcPr>
            <w:tcW w:w="148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2,938,772,048</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5</w:t>
            </w:r>
          </w:p>
        </w:tc>
        <w:tc>
          <w:tcPr>
            <w:tcW w:w="1735"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Profit after tax</w:t>
            </w:r>
          </w:p>
        </w:tc>
        <w:tc>
          <w:tcPr>
            <w:tcW w:w="1486"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14,106,892,321</w:t>
            </w:r>
          </w:p>
        </w:tc>
        <w:tc>
          <w:tcPr>
            <w:tcW w:w="148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1,652,196,752</w:t>
            </w:r>
          </w:p>
        </w:tc>
      </w:tr>
    </w:tbl>
    <w:p w:rsidR="001548E6" w:rsidRPr="00145326" w:rsidRDefault="00E45D0E" w:rsidP="00145326">
      <w:pPr>
        <w:numPr>
          <w:ilvl w:val="0"/>
          <w:numId w:val="1"/>
        </w:numPr>
        <w:pBdr>
          <w:top w:val="nil"/>
          <w:left w:val="nil"/>
          <w:bottom w:val="nil"/>
          <w:right w:val="nil"/>
          <w:between w:val="nil"/>
        </w:pBdr>
        <w:tabs>
          <w:tab w:val="left" w:pos="432"/>
          <w:tab w:val="left" w:pos="459"/>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Approve the Profit distribution plan in 2023. Specifically:</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5"/>
        <w:gridCol w:w="6260"/>
        <w:gridCol w:w="2222"/>
      </w:tblGrid>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No.</w:t>
            </w:r>
          </w:p>
        </w:tc>
        <w:tc>
          <w:tcPr>
            <w:tcW w:w="3471"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Targets</w:t>
            </w:r>
          </w:p>
        </w:tc>
        <w:tc>
          <w:tcPr>
            <w:tcW w:w="123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Value (VND)</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01</w:t>
            </w:r>
          </w:p>
        </w:tc>
        <w:tc>
          <w:tcPr>
            <w:tcW w:w="3471"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Profit after tax of shareholders of the Holding Company in 2023</w:t>
            </w:r>
          </w:p>
        </w:tc>
        <w:tc>
          <w:tcPr>
            <w:tcW w:w="123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11,217,861,760</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02</w:t>
            </w:r>
          </w:p>
        </w:tc>
        <w:tc>
          <w:tcPr>
            <w:tcW w:w="3471"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0" w:name="_heading=h.gjdgxs"/>
            <w:bookmarkEnd w:id="0"/>
            <w:r w:rsidRPr="00145326">
              <w:rPr>
                <w:rFonts w:ascii="Arial" w:hAnsi="Arial" w:cs="Arial"/>
                <w:color w:val="010000"/>
                <w:sz w:val="20"/>
                <w:szCs w:val="20"/>
              </w:rPr>
              <w:t>Appropriation for bonus and welfare funds</w:t>
            </w:r>
          </w:p>
        </w:tc>
        <w:tc>
          <w:tcPr>
            <w:tcW w:w="123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(1,438,687,660)</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03</w:t>
            </w:r>
          </w:p>
        </w:tc>
        <w:tc>
          <w:tcPr>
            <w:tcW w:w="3471"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Appropriation for investment and development fund</w:t>
            </w:r>
          </w:p>
        </w:tc>
        <w:tc>
          <w:tcPr>
            <w:tcW w:w="123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0</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04</w:t>
            </w:r>
          </w:p>
        </w:tc>
        <w:tc>
          <w:tcPr>
            <w:tcW w:w="3471"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Remaining profit after tax in 2024 after distribution</w:t>
            </w:r>
          </w:p>
        </w:tc>
        <w:tc>
          <w:tcPr>
            <w:tcW w:w="123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9,779,174,100</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05</w:t>
            </w:r>
          </w:p>
        </w:tc>
        <w:tc>
          <w:tcPr>
            <w:tcW w:w="3471"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Bonus for the Board of Directors (1% of profit after tax of shareholders of the Holding Company)</w:t>
            </w:r>
          </w:p>
        </w:tc>
        <w:tc>
          <w:tcPr>
            <w:tcW w:w="123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112,178,618</w:t>
            </w:r>
          </w:p>
        </w:tc>
      </w:tr>
      <w:tr w:rsidR="001548E6" w:rsidRPr="00145326" w:rsidTr="009C2830">
        <w:tc>
          <w:tcPr>
            <w:tcW w:w="29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06</w:t>
            </w:r>
          </w:p>
        </w:tc>
        <w:tc>
          <w:tcPr>
            <w:tcW w:w="3471"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Dividend payment in 2023 (5% of par value)</w:t>
            </w:r>
          </w:p>
        </w:tc>
        <w:tc>
          <w:tcPr>
            <w:tcW w:w="1232"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9,069,323,500</w:t>
            </w:r>
          </w:p>
        </w:tc>
      </w:tr>
    </w:tbl>
    <w:p w:rsidR="001548E6" w:rsidRPr="00145326" w:rsidRDefault="00E45D0E" w:rsidP="00145326">
      <w:pPr>
        <w:numPr>
          <w:ilvl w:val="0"/>
          <w:numId w:val="1"/>
        </w:numPr>
        <w:pBdr>
          <w:top w:val="nil"/>
          <w:left w:val="nil"/>
          <w:bottom w:val="nil"/>
          <w:right w:val="nil"/>
          <w:between w:val="nil"/>
        </w:pBdr>
        <w:tabs>
          <w:tab w:val="left" w:pos="432"/>
          <w:tab w:val="left" w:pos="459"/>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Approve the business plan for 2024 and the profit distribution plan for 2024. Specifically:</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
        <w:gridCol w:w="301"/>
        <w:gridCol w:w="3980"/>
        <w:gridCol w:w="4200"/>
      </w:tblGrid>
      <w:tr w:rsidR="001548E6" w:rsidRPr="00145326" w:rsidTr="00E45D0E">
        <w:tc>
          <w:tcPr>
            <w:tcW w:w="464" w:type="pct"/>
            <w:gridSpan w:val="2"/>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No.</w:t>
            </w:r>
          </w:p>
        </w:tc>
        <w:tc>
          <w:tcPr>
            <w:tcW w:w="2207"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Targets</w:t>
            </w:r>
          </w:p>
        </w:tc>
        <w:tc>
          <w:tcPr>
            <w:tcW w:w="2329" w:type="pct"/>
            <w:shd w:val="clear" w:color="auto" w:fill="auto"/>
            <w:tcMar>
              <w:top w:w="0" w:type="dxa"/>
              <w:bottom w:w="0" w:type="dxa"/>
            </w:tcMar>
            <w:vAlign w:val="center"/>
          </w:tcPr>
          <w:p w:rsidR="001548E6" w:rsidRPr="00145326" w:rsidRDefault="00E45D0E" w:rsidP="009C2830">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Value</w:t>
            </w:r>
          </w:p>
        </w:tc>
      </w:tr>
      <w:tr w:rsidR="001548E6" w:rsidRPr="00145326" w:rsidTr="009C2830">
        <w:tc>
          <w:tcPr>
            <w:tcW w:w="297"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lastRenderedPageBreak/>
              <w:t>1</w:t>
            </w:r>
          </w:p>
        </w:tc>
        <w:tc>
          <w:tcPr>
            <w:tcW w:w="2374" w:type="pct"/>
            <w:gridSpan w:val="2"/>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Total revenue</w:t>
            </w:r>
          </w:p>
        </w:tc>
        <w:tc>
          <w:tcPr>
            <w:tcW w:w="2329" w:type="pct"/>
            <w:shd w:val="clear" w:color="auto" w:fill="auto"/>
            <w:tcMar>
              <w:top w:w="0" w:type="dxa"/>
              <w:bottom w:w="0" w:type="dxa"/>
            </w:tcMar>
            <w:vAlign w:val="center"/>
          </w:tcPr>
          <w:p w:rsidR="001548E6" w:rsidRPr="00145326" w:rsidRDefault="00E45D0E" w:rsidP="001D230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VND70,000,000,000</w:t>
            </w:r>
          </w:p>
        </w:tc>
      </w:tr>
      <w:tr w:rsidR="001548E6" w:rsidRPr="00145326" w:rsidTr="009C2830">
        <w:tc>
          <w:tcPr>
            <w:tcW w:w="297" w:type="pct"/>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2</w:t>
            </w:r>
          </w:p>
        </w:tc>
        <w:tc>
          <w:tcPr>
            <w:tcW w:w="2374" w:type="pct"/>
            <w:gridSpan w:val="2"/>
            <w:shd w:val="clear" w:color="auto" w:fill="auto"/>
            <w:tcMar>
              <w:top w:w="0" w:type="dxa"/>
              <w:bottom w:w="0" w:type="dxa"/>
            </w:tcMar>
            <w:vAlign w:val="center"/>
          </w:tcPr>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Profit after tax</w:t>
            </w:r>
          </w:p>
        </w:tc>
        <w:tc>
          <w:tcPr>
            <w:tcW w:w="2329" w:type="pct"/>
            <w:shd w:val="clear" w:color="auto" w:fill="auto"/>
            <w:tcMar>
              <w:top w:w="0" w:type="dxa"/>
              <w:bottom w:w="0" w:type="dxa"/>
            </w:tcMar>
            <w:vAlign w:val="center"/>
          </w:tcPr>
          <w:p w:rsidR="001548E6" w:rsidRPr="00145326" w:rsidRDefault="00E45D0E" w:rsidP="001D230D">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VND8,000,000,000</w:t>
            </w:r>
          </w:p>
        </w:tc>
      </w:tr>
      <w:tr w:rsidR="001548E6" w:rsidRPr="00145326" w:rsidTr="009C2830">
        <w:tc>
          <w:tcPr>
            <w:tcW w:w="297" w:type="pct"/>
            <w:shd w:val="clear" w:color="auto" w:fill="auto"/>
            <w:tcMar>
              <w:top w:w="0" w:type="dxa"/>
              <w:bottom w:w="0" w:type="dxa"/>
            </w:tcMar>
            <w:vAlign w:val="center"/>
          </w:tcPr>
          <w:p w:rsidR="001548E6" w:rsidRPr="00145326" w:rsidRDefault="00E45D0E" w:rsidP="00145326">
            <w:pP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3</w:t>
            </w:r>
          </w:p>
        </w:tc>
        <w:tc>
          <w:tcPr>
            <w:tcW w:w="2374" w:type="pct"/>
            <w:gridSpan w:val="2"/>
            <w:shd w:val="clear" w:color="auto" w:fill="auto"/>
            <w:tcMar>
              <w:top w:w="0" w:type="dxa"/>
              <w:bottom w:w="0" w:type="dxa"/>
            </w:tcMar>
            <w:vAlign w:val="center"/>
          </w:tcPr>
          <w:p w:rsidR="001548E6" w:rsidRPr="00145326" w:rsidRDefault="00E45D0E" w:rsidP="00145326">
            <w:pP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Appropriation for bonus and welfare funds</w:t>
            </w:r>
          </w:p>
        </w:tc>
        <w:tc>
          <w:tcPr>
            <w:tcW w:w="2329" w:type="pct"/>
            <w:shd w:val="clear" w:color="auto" w:fill="auto"/>
            <w:tcMar>
              <w:top w:w="0" w:type="dxa"/>
              <w:bottom w:w="0" w:type="dxa"/>
            </w:tcMar>
            <w:vAlign w:val="center"/>
          </w:tcPr>
          <w:p w:rsidR="001548E6" w:rsidRPr="00145326" w:rsidRDefault="00E45D0E" w:rsidP="001D230D">
            <w:pP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5% of profit after tax</w:t>
            </w:r>
          </w:p>
        </w:tc>
      </w:tr>
      <w:tr w:rsidR="001548E6" w:rsidRPr="00145326" w:rsidTr="009C2830">
        <w:tc>
          <w:tcPr>
            <w:tcW w:w="297" w:type="pct"/>
            <w:shd w:val="clear" w:color="auto" w:fill="auto"/>
            <w:tcMar>
              <w:top w:w="0" w:type="dxa"/>
              <w:bottom w:w="0" w:type="dxa"/>
            </w:tcMar>
            <w:vAlign w:val="center"/>
          </w:tcPr>
          <w:p w:rsidR="001548E6" w:rsidRPr="00145326" w:rsidRDefault="00E45D0E" w:rsidP="00145326">
            <w:pP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4</w:t>
            </w:r>
          </w:p>
        </w:tc>
        <w:tc>
          <w:tcPr>
            <w:tcW w:w="2374" w:type="pct"/>
            <w:gridSpan w:val="2"/>
            <w:shd w:val="clear" w:color="auto" w:fill="auto"/>
            <w:tcMar>
              <w:top w:w="0" w:type="dxa"/>
              <w:bottom w:w="0" w:type="dxa"/>
            </w:tcMar>
            <w:vAlign w:val="center"/>
          </w:tcPr>
          <w:p w:rsidR="001548E6" w:rsidRPr="00145326" w:rsidRDefault="00E45D0E" w:rsidP="00145326">
            <w:pP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Bonus for the Board of Directors</w:t>
            </w:r>
          </w:p>
        </w:tc>
        <w:tc>
          <w:tcPr>
            <w:tcW w:w="2329" w:type="pct"/>
            <w:shd w:val="clear" w:color="auto" w:fill="auto"/>
            <w:tcMar>
              <w:top w:w="0" w:type="dxa"/>
              <w:bottom w:w="0" w:type="dxa"/>
            </w:tcMar>
            <w:vAlign w:val="center"/>
          </w:tcPr>
          <w:p w:rsidR="001548E6" w:rsidRPr="00145326" w:rsidRDefault="00E45D0E" w:rsidP="001D230D">
            <w:pP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1 % of Profit after tax of shareholders of the Holding Company</w:t>
            </w:r>
          </w:p>
        </w:tc>
      </w:tr>
      <w:tr w:rsidR="001548E6" w:rsidRPr="00145326" w:rsidTr="009C2830">
        <w:tc>
          <w:tcPr>
            <w:tcW w:w="297" w:type="pct"/>
            <w:shd w:val="clear" w:color="auto" w:fill="auto"/>
            <w:tcMar>
              <w:top w:w="0" w:type="dxa"/>
              <w:bottom w:w="0" w:type="dxa"/>
            </w:tcMar>
            <w:vAlign w:val="center"/>
          </w:tcPr>
          <w:p w:rsidR="001548E6" w:rsidRPr="00145326" w:rsidRDefault="00E45D0E" w:rsidP="00145326">
            <w:pP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5</w:t>
            </w:r>
          </w:p>
        </w:tc>
        <w:tc>
          <w:tcPr>
            <w:tcW w:w="2374" w:type="pct"/>
            <w:gridSpan w:val="2"/>
            <w:shd w:val="clear" w:color="auto" w:fill="auto"/>
            <w:tcMar>
              <w:top w:w="0" w:type="dxa"/>
              <w:bottom w:w="0" w:type="dxa"/>
            </w:tcMar>
            <w:vAlign w:val="center"/>
          </w:tcPr>
          <w:p w:rsidR="001548E6" w:rsidRPr="00145326" w:rsidRDefault="00E45D0E" w:rsidP="00145326">
            <w:pP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Expected dividend payment rate</w:t>
            </w:r>
          </w:p>
        </w:tc>
        <w:tc>
          <w:tcPr>
            <w:tcW w:w="2329" w:type="pct"/>
            <w:shd w:val="clear" w:color="auto" w:fill="auto"/>
            <w:tcMar>
              <w:top w:w="0" w:type="dxa"/>
              <w:bottom w:w="0" w:type="dxa"/>
            </w:tcMar>
            <w:vAlign w:val="center"/>
          </w:tcPr>
          <w:p w:rsidR="001548E6" w:rsidRPr="00145326" w:rsidRDefault="00E45D0E" w:rsidP="001D230D">
            <w:pPr>
              <w:tabs>
                <w:tab w:val="left" w:pos="432"/>
              </w:tabs>
              <w:spacing w:after="120" w:line="360" w:lineRule="auto"/>
              <w:jc w:val="center"/>
              <w:rPr>
                <w:rFonts w:ascii="Arial" w:eastAsia="Arial" w:hAnsi="Arial" w:cs="Arial"/>
                <w:color w:val="010000"/>
                <w:sz w:val="20"/>
                <w:szCs w:val="20"/>
              </w:rPr>
            </w:pPr>
            <w:r w:rsidRPr="00145326">
              <w:rPr>
                <w:rFonts w:ascii="Arial" w:hAnsi="Arial" w:cs="Arial"/>
                <w:color w:val="010000"/>
                <w:sz w:val="20"/>
                <w:szCs w:val="20"/>
              </w:rPr>
              <w:t>5%/par value</w:t>
            </w:r>
          </w:p>
        </w:tc>
      </w:tr>
    </w:tbl>
    <w:p w:rsidR="001548E6" w:rsidRPr="00145326" w:rsidRDefault="00E45D0E" w:rsidP="00145326">
      <w:pPr>
        <w:numPr>
          <w:ilvl w:val="0"/>
          <w:numId w:val="1"/>
        </w:numPr>
        <w:pBdr>
          <w:top w:val="nil"/>
          <w:left w:val="nil"/>
          <w:bottom w:val="nil"/>
          <w:right w:val="nil"/>
          <w:between w:val="nil"/>
        </w:pBdr>
        <w:tabs>
          <w:tab w:val="left" w:pos="446"/>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Approve the salary of the Board of Management</w:t>
      </w:r>
      <w:r w:rsidR="001D230D">
        <w:rPr>
          <w:rFonts w:ascii="Arial" w:hAnsi="Arial" w:cs="Arial"/>
          <w:color w:val="010000"/>
          <w:sz w:val="20"/>
          <w:szCs w:val="20"/>
        </w:rPr>
        <w:t>,</w:t>
      </w:r>
      <w:bookmarkStart w:id="1" w:name="_GoBack"/>
      <w:bookmarkEnd w:id="1"/>
      <w:r w:rsidRPr="00145326">
        <w:rPr>
          <w:rFonts w:ascii="Arial" w:hAnsi="Arial" w:cs="Arial"/>
          <w:color w:val="010000"/>
          <w:sz w:val="20"/>
          <w:szCs w:val="20"/>
        </w:rPr>
        <w:t xml:space="preserve"> and the remuneration for the Board of Directors of the Company in 2023 and the expected bonus and salary of the Board of Directors in 2024. Specifically:</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145326">
        <w:rPr>
          <w:rFonts w:ascii="Arial" w:hAnsi="Arial" w:cs="Arial"/>
          <w:color w:val="010000"/>
          <w:sz w:val="20"/>
          <w:szCs w:val="20"/>
        </w:rPr>
        <w:t>a</w:t>
      </w:r>
      <w:proofErr w:type="gramEnd"/>
      <w:r w:rsidRPr="00145326">
        <w:rPr>
          <w:rFonts w:ascii="Arial" w:hAnsi="Arial" w:cs="Arial"/>
          <w:color w:val="010000"/>
          <w:sz w:val="20"/>
          <w:szCs w:val="20"/>
        </w:rPr>
        <w:t>/ Realized salary, remuneration of the Board of Managers, the Board of Directors in 2023: VND1,979,842,696</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roofErr w:type="gramStart"/>
      <w:r w:rsidRPr="00145326">
        <w:rPr>
          <w:rFonts w:ascii="Arial" w:hAnsi="Arial" w:cs="Arial"/>
          <w:color w:val="010000"/>
          <w:sz w:val="20"/>
          <w:szCs w:val="20"/>
        </w:rPr>
        <w:t>b</w:t>
      </w:r>
      <w:proofErr w:type="gramEnd"/>
      <w:r w:rsidRPr="00145326">
        <w:rPr>
          <w:rFonts w:ascii="Arial" w:hAnsi="Arial" w:cs="Arial"/>
          <w:color w:val="010000"/>
          <w:sz w:val="20"/>
          <w:szCs w:val="20"/>
        </w:rPr>
        <w:t>/ Expected bonus for the Board of Directors for 2024: 1% of profit after tax of shareholders of the Holding Company for 2024.</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Article 5: Approve the Proposal on dismissing members of the Board of Directors for Mr. Dang Chu Dung.</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Article 6: Approve the Proposal on authorizing the Board of Directors to select the independent audit company among the audit companies approved by the State Securities Commission to audit the Financial Statements of the Company in 2024 and authorize the Chair of the Board of Directors to sign contracts with the audit company selected by the Board of Directors.</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Article 7: Organization, implementation, and terms of enforcement.</w:t>
      </w:r>
    </w:p>
    <w:p w:rsidR="001548E6" w:rsidRPr="00145326" w:rsidRDefault="00E45D0E" w:rsidP="0014532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45326">
        <w:rPr>
          <w:rFonts w:ascii="Arial" w:hAnsi="Arial" w:cs="Arial"/>
          <w:color w:val="010000"/>
          <w:sz w:val="20"/>
          <w:szCs w:val="20"/>
        </w:rPr>
        <w:t>This General Mandate takes effect from the date of its signing, all shareholders, members of the Board of Directors, the Board of Management, and all employees of the Century 21 Joint Stock Company are responsible for implementing this General Mandate.</w:t>
      </w:r>
    </w:p>
    <w:p w:rsidR="009C2830" w:rsidRPr="00145326" w:rsidRDefault="009C283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9C2830" w:rsidRPr="00145326" w:rsidSect="00E45D0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B20884"/>
    <w:multiLevelType w:val="multilevel"/>
    <w:tmpl w:val="0090E8E0"/>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F621785"/>
    <w:multiLevelType w:val="multilevel"/>
    <w:tmpl w:val="EF2C1682"/>
    <w:lvl w:ilvl="0">
      <w:start w:val="1"/>
      <w:numFmt w:val="decimal"/>
      <w:lvlText w:val="4.%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E6"/>
    <w:rsid w:val="00145326"/>
    <w:rsid w:val="001548E6"/>
    <w:rsid w:val="001D230D"/>
    <w:rsid w:val="009C2830"/>
    <w:rsid w:val="00E4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52CD92-9110-49FC-B6AA-E56CCE02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19"/>
      <w:szCs w:val="19"/>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Arial" w:eastAsia="Arial" w:hAnsi="Arial" w:cs="Arial"/>
      <w:b w:val="0"/>
      <w:bCs w:val="0"/>
      <w:i/>
      <w:iCs/>
      <w:smallCaps w:val="0"/>
      <w:strike w:val="0"/>
      <w:sz w:val="17"/>
      <w:szCs w:val="17"/>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20">
    <w:name w:val="Văn bản nội dung (2)"/>
    <w:basedOn w:val="Normal"/>
    <w:link w:val="Vnbnnidung2"/>
    <w:pPr>
      <w:ind w:firstLine="430"/>
      <w:jc w:val="center"/>
    </w:pPr>
    <w:rPr>
      <w:rFonts w:ascii="Times New Roman" w:eastAsia="Times New Roman" w:hAnsi="Times New Roman" w:cs="Times New Roman"/>
      <w:b/>
      <w:bCs/>
      <w:sz w:val="19"/>
      <w:szCs w:val="19"/>
    </w:rPr>
  </w:style>
  <w:style w:type="paragraph" w:customStyle="1" w:styleId="Vnbnnidung30">
    <w:name w:val="Văn bản nội dung (3)"/>
    <w:basedOn w:val="Normal"/>
    <w:link w:val="Vnbnnidung3"/>
    <w:pPr>
      <w:ind w:firstLine="430"/>
    </w:pPr>
    <w:rPr>
      <w:rFonts w:ascii="Times New Roman" w:eastAsia="Times New Roman" w:hAnsi="Times New Roman" w:cs="Times New Roman"/>
      <w:sz w:val="17"/>
      <w:szCs w:val="17"/>
    </w:rPr>
  </w:style>
  <w:style w:type="paragraph" w:customStyle="1" w:styleId="Vnbnnidung0">
    <w:name w:val="Văn bản nội dung"/>
    <w:basedOn w:val="Normal"/>
    <w:link w:val="Vnbnnidung"/>
    <w:pPr>
      <w:spacing w:line="259" w:lineRule="auto"/>
    </w:pPr>
    <w:rPr>
      <w:rFonts w:ascii="Times New Roman" w:eastAsia="Times New Roman" w:hAnsi="Times New Roman" w:cs="Times New Roman"/>
      <w:sz w:val="22"/>
      <w:szCs w:val="22"/>
    </w:rPr>
  </w:style>
  <w:style w:type="paragraph" w:customStyle="1" w:styleId="Tiu10">
    <w:name w:val="Tiêu đề #1"/>
    <w:basedOn w:val="Normal"/>
    <w:link w:val="Tiu1"/>
    <w:pPr>
      <w:spacing w:line="221" w:lineRule="auto"/>
      <w:jc w:val="center"/>
      <w:outlineLvl w:val="0"/>
    </w:pPr>
    <w:rPr>
      <w:rFonts w:ascii="Times New Roman" w:eastAsia="Times New Roman" w:hAnsi="Times New Roman" w:cs="Times New Roman"/>
      <w:b/>
      <w:bCs/>
      <w:sz w:val="28"/>
      <w:szCs w:val="28"/>
    </w:rPr>
  </w:style>
  <w:style w:type="paragraph" w:customStyle="1" w:styleId="Tiu20">
    <w:name w:val="Tiêu đề #2"/>
    <w:basedOn w:val="Normal"/>
    <w:link w:val="Tiu2"/>
    <w:pPr>
      <w:spacing w:line="257" w:lineRule="auto"/>
      <w:jc w:val="center"/>
      <w:outlineLvl w:val="1"/>
    </w:pPr>
    <w:rPr>
      <w:rFonts w:ascii="Times New Roman" w:eastAsia="Times New Roman" w:hAnsi="Times New Roman" w:cs="Times New Roman"/>
      <w:b/>
      <w:bCs/>
    </w:rPr>
  </w:style>
  <w:style w:type="paragraph" w:customStyle="1" w:styleId="Chthchbng0">
    <w:name w:val="Chú thích bảng"/>
    <w:basedOn w:val="Normal"/>
    <w:link w:val="Chthchbng"/>
    <w:rPr>
      <w:rFonts w:ascii="Arial" w:eastAsia="Arial" w:hAnsi="Arial" w:cs="Arial"/>
      <w:i/>
      <w:iCs/>
      <w:sz w:val="17"/>
      <w:szCs w:val="17"/>
    </w:rPr>
  </w:style>
  <w:style w:type="paragraph" w:customStyle="1" w:styleId="Khc0">
    <w:name w:val="Khác"/>
    <w:basedOn w:val="Normal"/>
    <w:link w:val="Khc"/>
    <w:pPr>
      <w:spacing w:line="259" w:lineRule="auto"/>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7NzQ7FzUtZ532mm4Erl+QpvVzg==">CgMxLjAyCGguZ2pkZ3hzOAByITFaMm83ZW1JczJrdzBRMjVjTDczS2kyVVo3cU5Zam5xTQ==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513</Words>
  <Characters>2793</Characters>
  <Application>Microsoft Office Word</Application>
  <DocSecurity>0</DocSecurity>
  <Lines>99</Lines>
  <Paragraphs>94</Paragraphs>
  <ScaleCrop>false</ScaleCrop>
  <Company>Microsoft</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2024-08-14T04:30:00Z</dcterms:created>
  <dcterms:modified xsi:type="dcterms:W3CDTF">2024-08-16T03:52:00Z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8d345938ba3aa101bee399094cdce129837ec8760832c8f0259207ac3f078383</vt:lpwstr>
  </property>
</Properties>
</file>