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95F9A">
        <w:rPr>
          <w:rFonts w:ascii="Arial" w:hAnsi="Arial" w:cs="Arial"/>
          <w:b/>
          <w:color w:val="010000"/>
          <w:sz w:val="20"/>
        </w:rPr>
        <w:t>QNS: Board Resolution</w:t>
      </w:r>
    </w:p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 xml:space="preserve">On August 15, 2024, Quang </w:t>
      </w:r>
      <w:proofErr w:type="spellStart"/>
      <w:r w:rsidRPr="00B95F9A">
        <w:rPr>
          <w:rFonts w:ascii="Arial" w:hAnsi="Arial" w:cs="Arial"/>
          <w:color w:val="010000"/>
          <w:sz w:val="20"/>
        </w:rPr>
        <w:t>Ngai</w:t>
      </w:r>
      <w:proofErr w:type="spellEnd"/>
      <w:r w:rsidRPr="00B95F9A">
        <w:rPr>
          <w:rFonts w:ascii="Arial" w:hAnsi="Arial" w:cs="Arial"/>
          <w:color w:val="010000"/>
          <w:sz w:val="20"/>
        </w:rPr>
        <w:t xml:space="preserve"> Sugar Joint Stock Company announced Resolution No. 39/NQ/QNS-HDQT as follows:</w:t>
      </w:r>
    </w:p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95F9A">
        <w:rPr>
          <w:rFonts w:ascii="Arial" w:hAnsi="Arial" w:cs="Arial"/>
          <w:color w:val="010000"/>
          <w:sz w:val="20"/>
        </w:rPr>
        <w:t>‎‎Article 1.</w:t>
      </w:r>
      <w:proofErr w:type="gramEnd"/>
      <w:r w:rsidRPr="00B95F9A">
        <w:rPr>
          <w:rFonts w:ascii="Arial" w:hAnsi="Arial" w:cs="Arial"/>
          <w:color w:val="010000"/>
          <w:sz w:val="20"/>
        </w:rPr>
        <w:t xml:space="preserve"> Decide on prepaying dividends for round 1 in 2024 in cash.</w:t>
      </w:r>
    </w:p>
    <w:p w:rsidR="002C506A" w:rsidRPr="00B95F9A" w:rsidRDefault="00B95F9A" w:rsidP="004A1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Dividend payment rate: 10%, equivalent to VND1</w:t>
      </w:r>
      <w:proofErr w:type="gramStart"/>
      <w:r w:rsidRPr="00B95F9A">
        <w:rPr>
          <w:rFonts w:ascii="Arial" w:hAnsi="Arial" w:cs="Arial"/>
          <w:color w:val="010000"/>
          <w:sz w:val="20"/>
        </w:rPr>
        <w:t>,000</w:t>
      </w:r>
      <w:proofErr w:type="gramEnd"/>
      <w:r w:rsidRPr="00B95F9A">
        <w:rPr>
          <w:rFonts w:ascii="Arial" w:hAnsi="Arial" w:cs="Arial"/>
          <w:color w:val="010000"/>
          <w:sz w:val="20"/>
        </w:rPr>
        <w:t>/share.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9"/>
        <w:gridCol w:w="2850"/>
        <w:gridCol w:w="2908"/>
      </w:tblGrid>
      <w:tr w:rsidR="002C506A" w:rsidRPr="00B95F9A" w:rsidTr="00B95F9A">
        <w:tc>
          <w:tcPr>
            <w:tcW w:w="1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Dividend prepayment for round 1 in 2024</w:t>
            </w:r>
          </w:p>
        </w:tc>
      </w:tr>
      <w:tr w:rsidR="002C506A" w:rsidRPr="00B95F9A" w:rsidTr="00B95F9A">
        <w:tc>
          <w:tcPr>
            <w:tcW w:w="1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Dividend rate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CF323D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10000"/>
                  <w:sz w:val="20"/>
                </w:rPr>
                <w:tag w:val="goog_rdk_0"/>
                <w:id w:val="1000015566"/>
              </w:sdtPr>
              <w:sdtEndPr/>
              <w:sdtContent>
                <w:r w:rsidR="00B95F9A" w:rsidRPr="00B95F9A">
                  <w:rPr>
                    <w:rFonts w:ascii="Arial" w:hAnsi="Arial" w:cs="Arial"/>
                    <w:color w:val="010000"/>
                    <w:sz w:val="20"/>
                  </w:rPr>
                  <w:t>≥ 15%</w:t>
                </w:r>
              </w:sdtContent>
            </w:sdt>
          </w:p>
        </w:tc>
        <w:tc>
          <w:tcPr>
            <w:tcW w:w="1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10%</w:t>
            </w:r>
          </w:p>
        </w:tc>
      </w:tr>
      <w:tr w:rsidR="002C506A" w:rsidRPr="00B95F9A" w:rsidTr="00B95F9A">
        <w:tc>
          <w:tcPr>
            <w:tcW w:w="1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Dividend payment rate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≥ VND1,500/share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VND1,000/share</w:t>
            </w:r>
          </w:p>
        </w:tc>
      </w:tr>
      <w:tr w:rsidR="002C506A" w:rsidRPr="00B95F9A" w:rsidTr="00B95F9A">
        <w:tc>
          <w:tcPr>
            <w:tcW w:w="1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Number of outstanding shares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367,648,153 shares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367,648,153 Shares</w:t>
            </w:r>
          </w:p>
        </w:tc>
      </w:tr>
      <w:tr w:rsidR="002C506A" w:rsidRPr="00B95F9A" w:rsidTr="00B95F9A">
        <w:tc>
          <w:tcPr>
            <w:tcW w:w="1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Amount for dividend payment</w:t>
            </w:r>
          </w:p>
        </w:tc>
        <w:tc>
          <w:tcPr>
            <w:tcW w:w="15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CF323D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F323D">
              <w:rPr>
                <w:rFonts w:ascii="Arial" w:hAnsi="Arial" w:cs="Arial"/>
                <w:color w:val="010000"/>
                <w:sz w:val="20"/>
              </w:rPr>
              <w:t>≥</w:t>
            </w:r>
            <w:r w:rsidRPr="00CF323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B95F9A" w:rsidRPr="00CF323D">
              <w:rPr>
                <w:rFonts w:ascii="Arial" w:hAnsi="Arial" w:cs="Arial"/>
                <w:color w:val="010000"/>
                <w:sz w:val="20"/>
              </w:rPr>
              <w:t>VND551,472,229,500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C506A" w:rsidRPr="00B95F9A" w:rsidRDefault="00B95F9A" w:rsidP="00B95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95F9A">
              <w:rPr>
                <w:rFonts w:ascii="Arial" w:hAnsi="Arial" w:cs="Arial"/>
                <w:color w:val="010000"/>
                <w:sz w:val="20"/>
              </w:rPr>
              <w:t>VND367,648,153,000</w:t>
            </w:r>
          </w:p>
        </w:tc>
      </w:tr>
    </w:tbl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2"/>
          <w:tab w:val="left" w:pos="43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Record date: August 29, 2024</w:t>
      </w:r>
      <w:bookmarkStart w:id="0" w:name="_GoBack"/>
      <w:bookmarkEnd w:id="0"/>
    </w:p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2"/>
          <w:tab w:val="left" w:pos="43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Dividend payment form: In VND.</w:t>
      </w:r>
    </w:p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2"/>
          <w:tab w:val="left" w:pos="43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Date of payment: September 11, 2024.</w:t>
      </w:r>
    </w:p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Information disclosure: The Company is responsible for disclosing information in accordance with provisions of law.</w:t>
      </w:r>
    </w:p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95F9A">
        <w:rPr>
          <w:rFonts w:ascii="Arial" w:hAnsi="Arial" w:cs="Arial"/>
          <w:color w:val="010000"/>
          <w:sz w:val="20"/>
        </w:rPr>
        <w:t>‎‎Article 2.</w:t>
      </w:r>
      <w:proofErr w:type="gramEnd"/>
      <w:r w:rsidRPr="00B95F9A">
        <w:rPr>
          <w:rFonts w:ascii="Arial" w:hAnsi="Arial" w:cs="Arial"/>
          <w:color w:val="010000"/>
          <w:sz w:val="20"/>
        </w:rPr>
        <w:t xml:space="preserve"> Organization and implementation</w:t>
      </w:r>
    </w:p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 xml:space="preserve">The Board of Directors assigned the Chair of the Board and the General Manager of Quang </w:t>
      </w:r>
      <w:proofErr w:type="spellStart"/>
      <w:r w:rsidRPr="00B95F9A">
        <w:rPr>
          <w:rFonts w:ascii="Arial" w:hAnsi="Arial" w:cs="Arial"/>
          <w:color w:val="010000"/>
          <w:sz w:val="20"/>
        </w:rPr>
        <w:t>Ngai</w:t>
      </w:r>
      <w:proofErr w:type="spellEnd"/>
      <w:r w:rsidRPr="00B95F9A">
        <w:rPr>
          <w:rFonts w:ascii="Arial" w:hAnsi="Arial" w:cs="Arial"/>
          <w:color w:val="010000"/>
          <w:sz w:val="20"/>
        </w:rPr>
        <w:t xml:space="preserve"> Sugar Joint Stock Company to organize the implementation of the approved contents in the right order, procedures and provisions of current law, and the Company’s Charter.</w:t>
      </w:r>
    </w:p>
    <w:p w:rsidR="002C506A" w:rsidRPr="00B95F9A" w:rsidRDefault="00B95F9A" w:rsidP="004A18E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95F9A">
        <w:rPr>
          <w:rFonts w:ascii="Arial" w:hAnsi="Arial" w:cs="Arial"/>
          <w:color w:val="010000"/>
          <w:sz w:val="20"/>
        </w:rPr>
        <w:t>‎‎Article 3.</w:t>
      </w:r>
      <w:proofErr w:type="gramEnd"/>
      <w:r w:rsidRPr="00B95F9A">
        <w:rPr>
          <w:rFonts w:ascii="Arial" w:hAnsi="Arial" w:cs="Arial"/>
          <w:color w:val="010000"/>
          <w:sz w:val="20"/>
        </w:rPr>
        <w:t xml:space="preserve"> Terms of enforcement:</w:t>
      </w:r>
    </w:p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 xml:space="preserve">Members of the Board of Directors and the Board of Management of Quang </w:t>
      </w:r>
      <w:proofErr w:type="spellStart"/>
      <w:r w:rsidRPr="00B95F9A">
        <w:rPr>
          <w:rFonts w:ascii="Arial" w:hAnsi="Arial" w:cs="Arial"/>
          <w:color w:val="010000"/>
          <w:sz w:val="20"/>
        </w:rPr>
        <w:t>Ngai</w:t>
      </w:r>
      <w:proofErr w:type="spellEnd"/>
      <w:r w:rsidRPr="00B95F9A">
        <w:rPr>
          <w:rFonts w:ascii="Arial" w:hAnsi="Arial" w:cs="Arial"/>
          <w:color w:val="010000"/>
          <w:sz w:val="20"/>
        </w:rPr>
        <w:t xml:space="preserve"> Sugar Joint Stock Company are responsible for the implementation of this Resolution.</w:t>
      </w:r>
    </w:p>
    <w:p w:rsidR="002C506A" w:rsidRPr="00B95F9A" w:rsidRDefault="00B95F9A" w:rsidP="004A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5F9A">
        <w:rPr>
          <w:rFonts w:ascii="Arial" w:hAnsi="Arial" w:cs="Arial"/>
          <w:color w:val="010000"/>
          <w:sz w:val="20"/>
        </w:rPr>
        <w:t>This Resolution takes effect from the date of its signing</w:t>
      </w:r>
      <w:proofErr w:type="gramStart"/>
      <w:r w:rsidRPr="00B95F9A">
        <w:rPr>
          <w:rFonts w:ascii="Arial" w:hAnsi="Arial" w:cs="Arial"/>
          <w:color w:val="010000"/>
          <w:sz w:val="20"/>
        </w:rPr>
        <w:t>./</w:t>
      </w:r>
      <w:proofErr w:type="gramEnd"/>
      <w:r w:rsidRPr="00B95F9A">
        <w:rPr>
          <w:rFonts w:ascii="Arial" w:hAnsi="Arial" w:cs="Arial"/>
          <w:color w:val="010000"/>
          <w:sz w:val="20"/>
        </w:rPr>
        <w:t>.</w:t>
      </w:r>
    </w:p>
    <w:sectPr w:rsidR="002C506A" w:rsidRPr="00B95F9A" w:rsidSect="00B95F9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3EE"/>
    <w:multiLevelType w:val="multilevel"/>
    <w:tmpl w:val="67B64EC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953FB0"/>
    <w:multiLevelType w:val="multilevel"/>
    <w:tmpl w:val="225C8EC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A"/>
    <w:rsid w:val="002C506A"/>
    <w:rsid w:val="004A18EA"/>
    <w:rsid w:val="00B95F9A"/>
    <w:rsid w:val="00C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hc0">
    <w:name w:val="Khác"/>
    <w:basedOn w:val="Normal"/>
    <w:link w:val="Khc"/>
    <w:pPr>
      <w:spacing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hc0">
    <w:name w:val="Khác"/>
    <w:basedOn w:val="Normal"/>
    <w:link w:val="Khc"/>
    <w:pPr>
      <w:spacing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yeaJmBaq1ujPFHgDVtQJDhrFw==">CgMxLjAaJAoBMBIfCh0IB0IZCgVBcmlhbBIQQXJpYWwgVW5pY29kZSBNUzgAciExeHNxSTRINW1ZYXdtSHNja3FxWnhab1NESVhkSENXSjU=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2024-08-16T03:45:00Z</dcterms:created>
  <dcterms:modified xsi:type="dcterms:W3CDTF">2024-08-19T03:05:00Z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eef49bf634f73de541b53dce1e94cf167681b67ee47fde234d15ae4db8160cc0</vt:lpwstr>
  </property>
</Properties>
</file>