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363A0" w:rsidRPr="00E616FA" w:rsidRDefault="00E616FA" w:rsidP="00E616FA">
      <w:pPr>
        <w:widowControl/>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r w:rsidRPr="00E616FA">
        <w:rPr>
          <w:rFonts w:ascii="Arial" w:hAnsi="Arial" w:cs="Arial"/>
          <w:b/>
          <w:color w:val="010000"/>
          <w:sz w:val="20"/>
        </w:rPr>
        <w:t>SCG</w:t>
      </w:r>
      <w:r w:rsidRPr="00E616FA">
        <w:rPr>
          <w:rFonts w:ascii="Arial" w:hAnsi="Arial" w:cs="Arial"/>
          <w:b/>
          <w:color w:val="010000"/>
          <w:sz w:val="20"/>
        </w:rPr>
        <w:t>:</w:t>
      </w:r>
      <w:r w:rsidRPr="00E616FA">
        <w:rPr>
          <w:rFonts w:ascii="Arial" w:hAnsi="Arial" w:cs="Arial"/>
          <w:b/>
          <w:color w:val="010000"/>
          <w:sz w:val="20"/>
        </w:rPr>
        <w:t xml:space="preserve"> Board Resolution</w:t>
      </w:r>
    </w:p>
    <w:p w14:paraId="00000002" w14:textId="7100E06F" w:rsidR="000363A0" w:rsidRPr="00E616FA" w:rsidRDefault="00E616FA" w:rsidP="00E616FA">
      <w:pPr>
        <w:widowControl/>
        <w:pBdr>
          <w:top w:val="nil"/>
          <w:left w:val="nil"/>
          <w:bottom w:val="nil"/>
          <w:right w:val="nil"/>
          <w:between w:val="nil"/>
        </w:pBdr>
        <w:spacing w:after="120" w:line="360" w:lineRule="auto"/>
        <w:rPr>
          <w:rFonts w:ascii="Arial" w:eastAsia="Arial" w:hAnsi="Arial" w:cs="Arial"/>
          <w:color w:val="010000"/>
          <w:sz w:val="20"/>
          <w:szCs w:val="20"/>
        </w:rPr>
      </w:pPr>
      <w:r w:rsidRPr="00E616FA">
        <w:rPr>
          <w:rFonts w:ascii="Arial" w:hAnsi="Arial" w:cs="Arial"/>
          <w:color w:val="010000"/>
          <w:sz w:val="20"/>
        </w:rPr>
        <w:t xml:space="preserve">On </w:t>
      </w:r>
      <w:r w:rsidRPr="00E616FA">
        <w:rPr>
          <w:rFonts w:ascii="Arial" w:hAnsi="Arial" w:cs="Arial"/>
          <w:color w:val="010000"/>
          <w:sz w:val="20"/>
        </w:rPr>
        <w:t>August</w:t>
      </w:r>
      <w:r w:rsidRPr="00E616FA">
        <w:rPr>
          <w:rFonts w:ascii="Arial" w:hAnsi="Arial" w:cs="Arial"/>
          <w:color w:val="010000"/>
          <w:sz w:val="20"/>
        </w:rPr>
        <w:t xml:space="preserve"> </w:t>
      </w:r>
      <w:r w:rsidRPr="00E616FA">
        <w:rPr>
          <w:rFonts w:ascii="Arial" w:hAnsi="Arial" w:cs="Arial"/>
          <w:color w:val="010000"/>
          <w:sz w:val="20"/>
        </w:rPr>
        <w:t>13</w:t>
      </w:r>
      <w:r w:rsidRPr="00E616FA">
        <w:rPr>
          <w:rFonts w:ascii="Arial" w:hAnsi="Arial" w:cs="Arial"/>
          <w:color w:val="010000"/>
          <w:sz w:val="20"/>
        </w:rPr>
        <w:t xml:space="preserve">, </w:t>
      </w:r>
      <w:r w:rsidRPr="00E616FA">
        <w:rPr>
          <w:rFonts w:ascii="Arial" w:hAnsi="Arial" w:cs="Arial"/>
          <w:color w:val="010000"/>
          <w:sz w:val="20"/>
        </w:rPr>
        <w:t>2024</w:t>
      </w:r>
      <w:r w:rsidRPr="00E616FA">
        <w:rPr>
          <w:rFonts w:ascii="Arial" w:hAnsi="Arial" w:cs="Arial"/>
          <w:color w:val="010000"/>
          <w:sz w:val="20"/>
        </w:rPr>
        <w:t xml:space="preserve">, </w:t>
      </w:r>
      <w:r w:rsidRPr="00E616FA">
        <w:rPr>
          <w:rFonts w:ascii="Arial" w:hAnsi="Arial" w:cs="Arial"/>
          <w:color w:val="010000"/>
          <w:sz w:val="20"/>
        </w:rPr>
        <w:t>SCG Construction Group Joint Stock Company</w:t>
      </w:r>
      <w:r w:rsidRPr="00E616FA">
        <w:rPr>
          <w:rFonts w:ascii="Arial" w:hAnsi="Arial" w:cs="Arial"/>
          <w:color w:val="010000"/>
          <w:sz w:val="20"/>
        </w:rPr>
        <w:t xml:space="preserve"> announced Resolution No. </w:t>
      </w:r>
      <w:r w:rsidRPr="00E616FA">
        <w:rPr>
          <w:rFonts w:ascii="Arial" w:hAnsi="Arial" w:cs="Arial"/>
          <w:color w:val="010000"/>
          <w:sz w:val="20"/>
        </w:rPr>
        <w:t>18</w:t>
      </w:r>
      <w:r w:rsidRPr="00E616FA">
        <w:rPr>
          <w:rFonts w:ascii="Arial" w:hAnsi="Arial" w:cs="Arial"/>
          <w:color w:val="010000"/>
          <w:sz w:val="20"/>
        </w:rPr>
        <w:t>/</w:t>
      </w:r>
      <w:r w:rsidRPr="00E616FA">
        <w:rPr>
          <w:rFonts w:ascii="Arial" w:hAnsi="Arial" w:cs="Arial"/>
          <w:color w:val="010000"/>
          <w:sz w:val="20"/>
        </w:rPr>
        <w:t>2024</w:t>
      </w:r>
      <w:r w:rsidRPr="00E616FA">
        <w:rPr>
          <w:rFonts w:ascii="Arial" w:hAnsi="Arial" w:cs="Arial"/>
          <w:color w:val="010000"/>
          <w:sz w:val="20"/>
        </w:rPr>
        <w:t>/SCG/NQ-HDQT as follows</w:t>
      </w:r>
      <w:r w:rsidRPr="00E616FA">
        <w:rPr>
          <w:rFonts w:ascii="Arial" w:hAnsi="Arial" w:cs="Arial"/>
          <w:color w:val="010000"/>
          <w:sz w:val="20"/>
        </w:rPr>
        <w:t>:</w:t>
      </w:r>
    </w:p>
    <w:p w14:paraId="00000003" w14:textId="7D3EDCA6" w:rsidR="000363A0" w:rsidRPr="00E616FA" w:rsidRDefault="00E616FA" w:rsidP="00E616FA">
      <w:pPr>
        <w:pBdr>
          <w:top w:val="nil"/>
          <w:left w:val="nil"/>
          <w:bottom w:val="nil"/>
          <w:right w:val="nil"/>
          <w:between w:val="nil"/>
        </w:pBdr>
        <w:tabs>
          <w:tab w:val="left" w:pos="9847"/>
        </w:tabs>
        <w:spacing w:after="120" w:line="360" w:lineRule="auto"/>
        <w:rPr>
          <w:rFonts w:ascii="Arial" w:eastAsia="Arial" w:hAnsi="Arial" w:cs="Arial"/>
          <w:color w:val="010000"/>
          <w:sz w:val="20"/>
          <w:szCs w:val="20"/>
        </w:rPr>
      </w:pPr>
      <w:r w:rsidRPr="00E616FA">
        <w:rPr>
          <w:rFonts w:ascii="Arial" w:hAnsi="Arial" w:cs="Arial"/>
          <w:color w:val="010000"/>
          <w:sz w:val="20"/>
        </w:rPr>
        <w:t xml:space="preserve">Article </w:t>
      </w:r>
      <w:r w:rsidRPr="00E616FA">
        <w:rPr>
          <w:rFonts w:ascii="Arial" w:hAnsi="Arial" w:cs="Arial"/>
          <w:color w:val="010000"/>
          <w:sz w:val="20"/>
        </w:rPr>
        <w:t>1</w:t>
      </w:r>
      <w:r w:rsidRPr="00E616FA">
        <w:rPr>
          <w:rFonts w:ascii="Arial" w:hAnsi="Arial" w:cs="Arial"/>
          <w:color w:val="010000"/>
          <w:sz w:val="20"/>
        </w:rPr>
        <w:t xml:space="preserve">. Approve the receipt of credit extension from </w:t>
      </w:r>
      <w:r w:rsidRPr="00E616FA">
        <w:rPr>
          <w:rFonts w:ascii="Arial" w:hAnsi="Arial" w:cs="Arial"/>
          <w:color w:val="010000"/>
          <w:sz w:val="20"/>
        </w:rPr>
        <w:t>Kien Long Commercial Joint Stock Bank</w:t>
      </w:r>
      <w:r w:rsidRPr="00E616FA">
        <w:rPr>
          <w:rFonts w:ascii="Arial" w:hAnsi="Arial" w:cs="Arial"/>
          <w:color w:val="010000"/>
          <w:sz w:val="20"/>
        </w:rPr>
        <w:t xml:space="preserve"> (KLB) with the </w:t>
      </w:r>
      <w:r w:rsidRPr="00E616FA">
        <w:rPr>
          <w:rFonts w:ascii="Arial" w:hAnsi="Arial" w:cs="Arial"/>
          <w:color w:val="010000"/>
          <w:sz w:val="20"/>
        </w:rPr>
        <w:t>specific contents as follows</w:t>
      </w:r>
      <w:r w:rsidRPr="00E616FA">
        <w:rPr>
          <w:rFonts w:ascii="Arial" w:hAnsi="Arial" w:cs="Arial"/>
          <w:color w:val="010000"/>
          <w:sz w:val="20"/>
        </w:rPr>
        <w:t>:</w:t>
      </w:r>
    </w:p>
    <w:p w14:paraId="00000004" w14:textId="465A1738" w:rsidR="000363A0" w:rsidRPr="00E616FA" w:rsidRDefault="00E616FA" w:rsidP="00E616FA">
      <w:pPr>
        <w:numPr>
          <w:ilvl w:val="0"/>
          <w:numId w:val="1"/>
        </w:numPr>
        <w:pBdr>
          <w:top w:val="nil"/>
          <w:left w:val="nil"/>
          <w:bottom w:val="nil"/>
          <w:right w:val="nil"/>
          <w:between w:val="nil"/>
        </w:pBdr>
        <w:tabs>
          <w:tab w:val="left" w:pos="656"/>
        </w:tabs>
        <w:spacing w:after="120" w:line="360" w:lineRule="auto"/>
        <w:rPr>
          <w:rFonts w:ascii="Arial" w:eastAsia="Arial" w:hAnsi="Arial" w:cs="Arial"/>
          <w:color w:val="010000"/>
          <w:sz w:val="20"/>
          <w:szCs w:val="20"/>
        </w:rPr>
      </w:pPr>
      <w:r w:rsidRPr="00E616FA">
        <w:rPr>
          <w:rFonts w:ascii="Arial" w:hAnsi="Arial" w:cs="Arial"/>
          <w:color w:val="010000"/>
          <w:sz w:val="20"/>
        </w:rPr>
        <w:t>Form of granting credit extension</w:t>
      </w:r>
      <w:r w:rsidRPr="00E616FA">
        <w:rPr>
          <w:rFonts w:ascii="Arial" w:hAnsi="Arial" w:cs="Arial"/>
          <w:color w:val="010000"/>
          <w:sz w:val="20"/>
        </w:rPr>
        <w:t>:</w:t>
      </w:r>
      <w:r w:rsidRPr="00E616FA">
        <w:rPr>
          <w:rFonts w:ascii="Arial" w:hAnsi="Arial" w:cs="Arial"/>
          <w:color w:val="010000"/>
          <w:sz w:val="20"/>
        </w:rPr>
        <w:t xml:space="preserve"> </w:t>
      </w:r>
      <w:r w:rsidR="00883491" w:rsidRPr="00E616FA">
        <w:rPr>
          <w:rFonts w:ascii="Arial" w:hAnsi="Arial" w:cs="Arial"/>
          <w:color w:val="010000"/>
          <w:sz w:val="20"/>
        </w:rPr>
        <w:t>l</w:t>
      </w:r>
      <w:r w:rsidRPr="00E616FA">
        <w:rPr>
          <w:rFonts w:ascii="Arial" w:hAnsi="Arial" w:cs="Arial"/>
          <w:color w:val="010000"/>
          <w:sz w:val="20"/>
        </w:rPr>
        <w:t>oan limit linked to guarantee limit.</w:t>
      </w:r>
    </w:p>
    <w:p w14:paraId="00000005" w14:textId="77777777" w:rsidR="000363A0" w:rsidRPr="00E616FA" w:rsidRDefault="00E616FA" w:rsidP="00E616FA">
      <w:pPr>
        <w:numPr>
          <w:ilvl w:val="0"/>
          <w:numId w:val="1"/>
        </w:numPr>
        <w:pBdr>
          <w:top w:val="nil"/>
          <w:left w:val="nil"/>
          <w:bottom w:val="nil"/>
          <w:right w:val="nil"/>
          <w:between w:val="nil"/>
        </w:pBdr>
        <w:tabs>
          <w:tab w:val="left" w:pos="656"/>
        </w:tabs>
        <w:spacing w:after="120" w:line="360" w:lineRule="auto"/>
        <w:rPr>
          <w:rFonts w:ascii="Arial" w:eastAsia="Arial" w:hAnsi="Arial" w:cs="Arial"/>
          <w:color w:val="010000"/>
          <w:sz w:val="20"/>
          <w:szCs w:val="20"/>
        </w:rPr>
      </w:pPr>
      <w:r w:rsidRPr="00E616FA">
        <w:rPr>
          <w:rFonts w:ascii="Arial" w:hAnsi="Arial" w:cs="Arial"/>
          <w:color w:val="010000"/>
          <w:sz w:val="20"/>
        </w:rPr>
        <w:t>Line of credit</w:t>
      </w:r>
      <w:r w:rsidRPr="00E616FA">
        <w:rPr>
          <w:rFonts w:ascii="Arial" w:hAnsi="Arial" w:cs="Arial"/>
          <w:color w:val="010000"/>
          <w:sz w:val="20"/>
        </w:rPr>
        <w:t>:</w:t>
      </w:r>
      <w:r w:rsidRPr="00E616FA">
        <w:rPr>
          <w:rFonts w:ascii="Arial" w:hAnsi="Arial" w:cs="Arial"/>
          <w:color w:val="010000"/>
          <w:sz w:val="20"/>
        </w:rPr>
        <w:t xml:space="preserve"> VND</w:t>
      </w:r>
      <w:r w:rsidRPr="00E616FA">
        <w:rPr>
          <w:rFonts w:ascii="Arial" w:hAnsi="Arial" w:cs="Arial"/>
          <w:color w:val="010000"/>
          <w:sz w:val="20"/>
        </w:rPr>
        <w:t>1,000,000,000,000</w:t>
      </w:r>
      <w:r w:rsidRPr="00E616FA">
        <w:rPr>
          <w:rFonts w:ascii="Arial" w:hAnsi="Arial" w:cs="Arial"/>
          <w:color w:val="010000"/>
          <w:sz w:val="20"/>
        </w:rPr>
        <w:t>.</w:t>
      </w:r>
    </w:p>
    <w:p w14:paraId="00000006" w14:textId="77777777" w:rsidR="000363A0" w:rsidRPr="00E616FA" w:rsidRDefault="00E616FA" w:rsidP="00E616FA">
      <w:pPr>
        <w:pBdr>
          <w:top w:val="nil"/>
          <w:left w:val="nil"/>
          <w:bottom w:val="nil"/>
          <w:right w:val="nil"/>
          <w:between w:val="nil"/>
        </w:pBdr>
        <w:spacing w:after="120" w:line="360" w:lineRule="auto"/>
        <w:rPr>
          <w:rFonts w:ascii="Arial" w:eastAsia="Arial" w:hAnsi="Arial" w:cs="Arial"/>
          <w:color w:val="010000"/>
          <w:sz w:val="20"/>
          <w:szCs w:val="20"/>
        </w:rPr>
      </w:pPr>
      <w:r w:rsidRPr="00E616FA">
        <w:rPr>
          <w:rFonts w:ascii="Arial" w:hAnsi="Arial" w:cs="Arial"/>
          <w:color w:val="010000"/>
          <w:sz w:val="20"/>
        </w:rPr>
        <w:t>In which</w:t>
      </w:r>
      <w:r w:rsidRPr="00E616FA">
        <w:rPr>
          <w:rFonts w:ascii="Arial" w:hAnsi="Arial" w:cs="Arial"/>
          <w:color w:val="010000"/>
          <w:sz w:val="20"/>
        </w:rPr>
        <w:t>:</w:t>
      </w:r>
    </w:p>
    <w:p w14:paraId="00000007" w14:textId="77777777" w:rsidR="000363A0" w:rsidRPr="00E616FA" w:rsidRDefault="00E616FA" w:rsidP="00E616FA">
      <w:pPr>
        <w:numPr>
          <w:ilvl w:val="0"/>
          <w:numId w:val="3"/>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E616FA">
        <w:rPr>
          <w:rFonts w:ascii="Arial" w:hAnsi="Arial" w:cs="Arial"/>
          <w:color w:val="010000"/>
          <w:sz w:val="20"/>
        </w:rPr>
        <w:t>Loan limit</w:t>
      </w:r>
      <w:r w:rsidRPr="00E616FA">
        <w:rPr>
          <w:rFonts w:ascii="Arial" w:hAnsi="Arial" w:cs="Arial"/>
          <w:color w:val="010000"/>
          <w:sz w:val="20"/>
        </w:rPr>
        <w:t>:</w:t>
      </w:r>
      <w:r w:rsidRPr="00E616FA">
        <w:rPr>
          <w:rFonts w:ascii="Arial" w:hAnsi="Arial" w:cs="Arial"/>
          <w:color w:val="010000"/>
          <w:sz w:val="20"/>
        </w:rPr>
        <w:t xml:space="preserve"> VND</w:t>
      </w:r>
      <w:r w:rsidRPr="00E616FA">
        <w:rPr>
          <w:rFonts w:ascii="Arial" w:hAnsi="Arial" w:cs="Arial"/>
          <w:color w:val="010000"/>
          <w:sz w:val="20"/>
        </w:rPr>
        <w:t>1,000,000,000,000</w:t>
      </w:r>
      <w:r w:rsidRPr="00E616FA">
        <w:rPr>
          <w:rFonts w:ascii="Arial" w:hAnsi="Arial" w:cs="Arial"/>
          <w:color w:val="010000"/>
          <w:sz w:val="20"/>
        </w:rPr>
        <w:t>.</w:t>
      </w:r>
    </w:p>
    <w:p w14:paraId="00000008" w14:textId="77777777" w:rsidR="000363A0" w:rsidRPr="00E616FA" w:rsidRDefault="00E616FA" w:rsidP="00E616FA">
      <w:pPr>
        <w:numPr>
          <w:ilvl w:val="0"/>
          <w:numId w:val="3"/>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E616FA">
        <w:rPr>
          <w:rFonts w:ascii="Arial" w:hAnsi="Arial" w:cs="Arial"/>
          <w:color w:val="010000"/>
          <w:sz w:val="20"/>
        </w:rPr>
        <w:t>Guarantee limit</w:t>
      </w:r>
      <w:r w:rsidRPr="00E616FA">
        <w:rPr>
          <w:rFonts w:ascii="Arial" w:hAnsi="Arial" w:cs="Arial"/>
          <w:color w:val="010000"/>
          <w:sz w:val="20"/>
        </w:rPr>
        <w:t>:</w:t>
      </w:r>
      <w:r w:rsidRPr="00E616FA">
        <w:rPr>
          <w:rFonts w:ascii="Arial" w:hAnsi="Arial" w:cs="Arial"/>
          <w:color w:val="010000"/>
          <w:sz w:val="20"/>
        </w:rPr>
        <w:t xml:space="preserve"> VND</w:t>
      </w:r>
      <w:r w:rsidRPr="00E616FA">
        <w:rPr>
          <w:rFonts w:ascii="Arial" w:hAnsi="Arial" w:cs="Arial"/>
          <w:color w:val="010000"/>
          <w:sz w:val="20"/>
        </w:rPr>
        <w:t>1,000,000,000,000</w:t>
      </w:r>
      <w:r w:rsidRPr="00E616FA">
        <w:rPr>
          <w:rFonts w:ascii="Arial" w:hAnsi="Arial" w:cs="Arial"/>
          <w:color w:val="010000"/>
          <w:sz w:val="20"/>
        </w:rPr>
        <w:t>.</w:t>
      </w:r>
    </w:p>
    <w:p w14:paraId="00000009" w14:textId="77777777" w:rsidR="000363A0" w:rsidRPr="00E616FA" w:rsidRDefault="00E616FA" w:rsidP="00E616FA">
      <w:pPr>
        <w:numPr>
          <w:ilvl w:val="0"/>
          <w:numId w:val="1"/>
        </w:numPr>
        <w:pBdr>
          <w:top w:val="nil"/>
          <w:left w:val="nil"/>
          <w:bottom w:val="nil"/>
          <w:right w:val="nil"/>
          <w:between w:val="nil"/>
        </w:pBdr>
        <w:tabs>
          <w:tab w:val="left" w:pos="656"/>
        </w:tabs>
        <w:spacing w:after="120" w:line="360" w:lineRule="auto"/>
        <w:rPr>
          <w:rFonts w:ascii="Arial" w:eastAsia="Arial" w:hAnsi="Arial" w:cs="Arial"/>
          <w:color w:val="010000"/>
          <w:sz w:val="20"/>
          <w:szCs w:val="20"/>
        </w:rPr>
      </w:pPr>
      <w:r w:rsidRPr="00E616FA">
        <w:rPr>
          <w:rFonts w:ascii="Arial" w:hAnsi="Arial" w:cs="Arial"/>
          <w:color w:val="010000"/>
          <w:sz w:val="20"/>
        </w:rPr>
        <w:t>Term of the limit</w:t>
      </w:r>
      <w:r w:rsidRPr="00E616FA">
        <w:rPr>
          <w:rFonts w:ascii="Arial" w:hAnsi="Arial" w:cs="Arial"/>
          <w:color w:val="010000"/>
          <w:sz w:val="20"/>
        </w:rPr>
        <w:t>:</w:t>
      </w:r>
      <w:r w:rsidRPr="00E616FA">
        <w:rPr>
          <w:rFonts w:ascii="Arial" w:hAnsi="Arial" w:cs="Arial"/>
          <w:color w:val="010000"/>
          <w:sz w:val="20"/>
        </w:rPr>
        <w:t xml:space="preserve"> </w:t>
      </w:r>
      <w:r w:rsidRPr="00E616FA">
        <w:rPr>
          <w:rFonts w:ascii="Arial" w:hAnsi="Arial" w:cs="Arial"/>
          <w:color w:val="010000"/>
          <w:sz w:val="20"/>
        </w:rPr>
        <w:t>12</w:t>
      </w:r>
      <w:r w:rsidRPr="00E616FA">
        <w:rPr>
          <w:rFonts w:ascii="Arial" w:hAnsi="Arial" w:cs="Arial"/>
          <w:color w:val="010000"/>
          <w:sz w:val="20"/>
        </w:rPr>
        <w:t xml:space="preserve"> months</w:t>
      </w:r>
    </w:p>
    <w:p w14:paraId="0000000A" w14:textId="77777777" w:rsidR="000363A0" w:rsidRPr="00E616FA" w:rsidRDefault="00E616FA" w:rsidP="00E616FA">
      <w:pPr>
        <w:numPr>
          <w:ilvl w:val="0"/>
          <w:numId w:val="1"/>
        </w:numPr>
        <w:pBdr>
          <w:top w:val="nil"/>
          <w:left w:val="nil"/>
          <w:bottom w:val="nil"/>
          <w:right w:val="nil"/>
          <w:between w:val="nil"/>
        </w:pBdr>
        <w:tabs>
          <w:tab w:val="left" w:pos="656"/>
        </w:tabs>
        <w:spacing w:after="120" w:line="360" w:lineRule="auto"/>
        <w:rPr>
          <w:rFonts w:ascii="Arial" w:eastAsia="Arial" w:hAnsi="Arial" w:cs="Arial"/>
          <w:color w:val="010000"/>
          <w:sz w:val="20"/>
          <w:szCs w:val="20"/>
        </w:rPr>
      </w:pPr>
      <w:r w:rsidRPr="00E616FA">
        <w:rPr>
          <w:rFonts w:ascii="Arial" w:hAnsi="Arial" w:cs="Arial"/>
          <w:color w:val="010000"/>
          <w:sz w:val="20"/>
        </w:rPr>
        <w:t>Purpose of loan/receiving credit extension</w:t>
      </w:r>
      <w:r w:rsidRPr="00E616FA">
        <w:rPr>
          <w:rFonts w:ascii="Arial" w:hAnsi="Arial" w:cs="Arial"/>
          <w:color w:val="010000"/>
          <w:sz w:val="20"/>
        </w:rPr>
        <w:t>:</w:t>
      </w:r>
      <w:r w:rsidRPr="00E616FA">
        <w:rPr>
          <w:rFonts w:ascii="Arial" w:hAnsi="Arial" w:cs="Arial"/>
          <w:color w:val="010000"/>
          <w:sz w:val="20"/>
        </w:rPr>
        <w:t xml:space="preserve"> Supplement working capital/Issue guarantees to serve the Company's business activities.</w:t>
      </w:r>
    </w:p>
    <w:p w14:paraId="0000000B" w14:textId="77777777" w:rsidR="000363A0" w:rsidRPr="00E616FA" w:rsidRDefault="00E616FA" w:rsidP="00E616FA">
      <w:pPr>
        <w:numPr>
          <w:ilvl w:val="0"/>
          <w:numId w:val="1"/>
        </w:numPr>
        <w:pBdr>
          <w:top w:val="nil"/>
          <w:left w:val="nil"/>
          <w:bottom w:val="nil"/>
          <w:right w:val="nil"/>
          <w:between w:val="nil"/>
        </w:pBdr>
        <w:tabs>
          <w:tab w:val="left" w:pos="656"/>
        </w:tabs>
        <w:spacing w:after="120" w:line="360" w:lineRule="auto"/>
        <w:rPr>
          <w:rFonts w:ascii="Arial" w:eastAsia="Arial" w:hAnsi="Arial" w:cs="Arial"/>
          <w:color w:val="010000"/>
          <w:sz w:val="20"/>
          <w:szCs w:val="20"/>
        </w:rPr>
      </w:pPr>
      <w:r w:rsidRPr="00E616FA">
        <w:rPr>
          <w:rFonts w:ascii="Arial" w:hAnsi="Arial" w:cs="Arial"/>
          <w:color w:val="010000"/>
          <w:sz w:val="20"/>
        </w:rPr>
        <w:t>Loan interest rate and periodic adjustable interest rate, Guarantee fee</w:t>
      </w:r>
      <w:r w:rsidRPr="00E616FA">
        <w:rPr>
          <w:rFonts w:ascii="Arial" w:hAnsi="Arial" w:cs="Arial"/>
          <w:color w:val="010000"/>
          <w:sz w:val="20"/>
        </w:rPr>
        <w:t>:</w:t>
      </w:r>
      <w:r w:rsidRPr="00E616FA">
        <w:rPr>
          <w:rFonts w:ascii="Arial" w:hAnsi="Arial" w:cs="Arial"/>
          <w:color w:val="010000"/>
          <w:sz w:val="20"/>
        </w:rPr>
        <w:t xml:space="preserve"> According to KLB's regulations from time to time</w:t>
      </w:r>
      <w:r w:rsidRPr="00E616FA">
        <w:rPr>
          <w:rFonts w:ascii="Arial" w:hAnsi="Arial" w:cs="Arial"/>
          <w:color w:val="010000"/>
          <w:sz w:val="20"/>
        </w:rPr>
        <w:t>:</w:t>
      </w:r>
    </w:p>
    <w:p w14:paraId="0000000C" w14:textId="1F6BA7EF" w:rsidR="000363A0" w:rsidRPr="00E616FA" w:rsidRDefault="00E616FA" w:rsidP="00E616FA">
      <w:pPr>
        <w:pBdr>
          <w:top w:val="nil"/>
          <w:left w:val="nil"/>
          <w:bottom w:val="nil"/>
          <w:right w:val="nil"/>
          <w:between w:val="nil"/>
        </w:pBdr>
        <w:spacing w:after="120" w:line="360" w:lineRule="auto"/>
        <w:rPr>
          <w:rFonts w:ascii="Arial" w:eastAsia="Arial" w:hAnsi="Arial" w:cs="Arial"/>
          <w:color w:val="010000"/>
          <w:sz w:val="20"/>
          <w:szCs w:val="20"/>
        </w:rPr>
      </w:pPr>
      <w:r w:rsidRPr="00E616FA">
        <w:rPr>
          <w:rFonts w:ascii="Arial" w:hAnsi="Arial" w:cs="Arial"/>
          <w:color w:val="010000"/>
          <w:sz w:val="20"/>
        </w:rPr>
        <w:t>‎</w:t>
      </w:r>
      <w:r w:rsidRPr="00E616FA">
        <w:rPr>
          <w:rFonts w:ascii="Arial" w:hAnsi="Arial" w:cs="Arial"/>
          <w:color w:val="010000"/>
          <w:sz w:val="20"/>
        </w:rPr>
        <w:t xml:space="preserve">‎Article </w:t>
      </w:r>
      <w:r w:rsidRPr="00E616FA">
        <w:rPr>
          <w:rFonts w:ascii="Arial" w:hAnsi="Arial" w:cs="Arial"/>
          <w:color w:val="010000"/>
          <w:sz w:val="20"/>
        </w:rPr>
        <w:t>2</w:t>
      </w:r>
      <w:r w:rsidRPr="00E616FA">
        <w:rPr>
          <w:rFonts w:ascii="Arial" w:hAnsi="Arial" w:cs="Arial"/>
          <w:color w:val="010000"/>
          <w:sz w:val="20"/>
        </w:rPr>
        <w:t xml:space="preserve">. Approve the plan </w:t>
      </w:r>
      <w:r w:rsidR="00883491" w:rsidRPr="00E616FA">
        <w:rPr>
          <w:rFonts w:ascii="Arial" w:hAnsi="Arial" w:cs="Arial"/>
          <w:color w:val="010000"/>
          <w:sz w:val="20"/>
        </w:rPr>
        <w:t>on</w:t>
      </w:r>
      <w:r w:rsidRPr="00E616FA">
        <w:rPr>
          <w:rFonts w:ascii="Arial" w:hAnsi="Arial" w:cs="Arial"/>
          <w:color w:val="010000"/>
          <w:sz w:val="20"/>
        </w:rPr>
        <w:t xml:space="preserve"> us</w:t>
      </w:r>
      <w:r w:rsidR="00883491" w:rsidRPr="00E616FA">
        <w:rPr>
          <w:rFonts w:ascii="Arial" w:hAnsi="Arial" w:cs="Arial"/>
          <w:color w:val="010000"/>
          <w:sz w:val="20"/>
        </w:rPr>
        <w:t>ing</w:t>
      </w:r>
      <w:r w:rsidRPr="00E616FA">
        <w:rPr>
          <w:rFonts w:ascii="Arial" w:hAnsi="Arial" w:cs="Arial"/>
          <w:color w:val="010000"/>
          <w:sz w:val="20"/>
        </w:rPr>
        <w:t xml:space="preserve"> assets of a third party to secure the Company's obligations at KLB, specifically as follows</w:t>
      </w:r>
      <w:r w:rsidRPr="00E616FA">
        <w:rPr>
          <w:rFonts w:ascii="Arial" w:hAnsi="Arial" w:cs="Arial"/>
          <w:color w:val="010000"/>
          <w:sz w:val="20"/>
        </w:rPr>
        <w:t>:</w:t>
      </w:r>
    </w:p>
    <w:p w14:paraId="0000000D" w14:textId="77777777" w:rsidR="000363A0" w:rsidRPr="00E616FA" w:rsidRDefault="00E616FA" w:rsidP="00E616FA">
      <w:pPr>
        <w:numPr>
          <w:ilvl w:val="0"/>
          <w:numId w:val="1"/>
        </w:numPr>
        <w:pBdr>
          <w:top w:val="nil"/>
          <w:left w:val="nil"/>
          <w:bottom w:val="nil"/>
          <w:right w:val="nil"/>
          <w:between w:val="nil"/>
        </w:pBdr>
        <w:tabs>
          <w:tab w:val="left" w:pos="673"/>
        </w:tabs>
        <w:spacing w:after="120" w:line="360" w:lineRule="auto"/>
        <w:rPr>
          <w:rFonts w:ascii="Arial" w:eastAsia="Arial" w:hAnsi="Arial" w:cs="Arial"/>
          <w:color w:val="010000"/>
          <w:sz w:val="20"/>
          <w:szCs w:val="20"/>
        </w:rPr>
      </w:pPr>
      <w:r w:rsidRPr="00E616FA">
        <w:rPr>
          <w:rFonts w:ascii="Arial" w:hAnsi="Arial" w:cs="Arial"/>
          <w:color w:val="010000"/>
          <w:sz w:val="20"/>
        </w:rPr>
        <w:t xml:space="preserve">Name of asset </w:t>
      </w:r>
      <w:r w:rsidRPr="00E616FA">
        <w:rPr>
          <w:rFonts w:ascii="Arial" w:hAnsi="Arial" w:cs="Arial"/>
          <w:color w:val="010000"/>
          <w:sz w:val="20"/>
        </w:rPr>
        <w:t>01:</w:t>
      </w:r>
      <w:r w:rsidRPr="00E616FA">
        <w:rPr>
          <w:rFonts w:ascii="Arial" w:hAnsi="Arial" w:cs="Arial"/>
          <w:color w:val="010000"/>
          <w:sz w:val="20"/>
        </w:rPr>
        <w:t xml:space="preserve"> Property rights incurred from the development, exploitation and business of the beach hotel area of </w:t>
      </w:r>
      <w:r w:rsidRPr="00E616FA">
        <w:rPr>
          <w:rFonts w:ascii="Arial" w:hAnsi="Arial" w:cs="Arial"/>
          <w:color w:val="010000"/>
          <w:sz w:val="20"/>
        </w:rPr>
        <w:t>17,400</w:t>
      </w:r>
      <w:r w:rsidRPr="00E616FA">
        <w:rPr>
          <w:rFonts w:ascii="Arial" w:hAnsi="Arial" w:cs="Arial"/>
          <w:color w:val="010000"/>
          <w:sz w:val="20"/>
        </w:rPr>
        <w:t xml:space="preserve"> </w:t>
      </w:r>
      <w:r w:rsidRPr="00E616FA">
        <w:rPr>
          <w:rFonts w:ascii="Arial" w:hAnsi="Arial" w:cs="Arial"/>
          <w:color w:val="010000"/>
          <w:sz w:val="20"/>
        </w:rPr>
        <w:t>square meters under the Lang Co Golf Course and Resort Investment Project in Loc Vinh Commune, Phu Loc District, Thua Thien Hue Province. Owner</w:t>
      </w:r>
      <w:r w:rsidRPr="00E616FA">
        <w:rPr>
          <w:rFonts w:ascii="Arial" w:hAnsi="Arial" w:cs="Arial"/>
          <w:color w:val="010000"/>
          <w:sz w:val="20"/>
        </w:rPr>
        <w:t>:</w:t>
      </w:r>
      <w:r w:rsidRPr="00E616FA">
        <w:rPr>
          <w:rFonts w:ascii="Arial" w:hAnsi="Arial" w:cs="Arial"/>
          <w:color w:val="010000"/>
          <w:sz w:val="20"/>
        </w:rPr>
        <w:t xml:space="preserve"> </w:t>
      </w:r>
      <w:r w:rsidRPr="00E616FA">
        <w:rPr>
          <w:rFonts w:ascii="Arial" w:hAnsi="Arial" w:cs="Arial"/>
          <w:color w:val="010000"/>
          <w:sz w:val="20"/>
        </w:rPr>
        <w:t>Thuan Phu Lang Co Development Investment Joint Stock Company</w:t>
      </w:r>
      <w:r w:rsidRPr="00E616FA">
        <w:rPr>
          <w:rFonts w:ascii="Arial" w:hAnsi="Arial" w:cs="Arial"/>
          <w:color w:val="010000"/>
          <w:sz w:val="20"/>
        </w:rPr>
        <w:t>.</w:t>
      </w:r>
    </w:p>
    <w:p w14:paraId="0000000E" w14:textId="77777777" w:rsidR="000363A0" w:rsidRPr="00E616FA" w:rsidRDefault="00E616FA" w:rsidP="00E616FA">
      <w:pPr>
        <w:numPr>
          <w:ilvl w:val="0"/>
          <w:numId w:val="1"/>
        </w:numPr>
        <w:pBdr>
          <w:top w:val="nil"/>
          <w:left w:val="nil"/>
          <w:bottom w:val="nil"/>
          <w:right w:val="nil"/>
          <w:between w:val="nil"/>
        </w:pBdr>
        <w:tabs>
          <w:tab w:val="left" w:pos="673"/>
        </w:tabs>
        <w:spacing w:after="120" w:line="360" w:lineRule="auto"/>
        <w:rPr>
          <w:rFonts w:ascii="Arial" w:eastAsia="Arial" w:hAnsi="Arial" w:cs="Arial"/>
          <w:color w:val="010000"/>
          <w:sz w:val="20"/>
          <w:szCs w:val="20"/>
        </w:rPr>
      </w:pPr>
      <w:r w:rsidRPr="00E616FA">
        <w:rPr>
          <w:rFonts w:ascii="Arial" w:hAnsi="Arial" w:cs="Arial"/>
          <w:color w:val="010000"/>
          <w:sz w:val="20"/>
        </w:rPr>
        <w:t xml:space="preserve">Name of asset </w:t>
      </w:r>
      <w:r w:rsidRPr="00E616FA">
        <w:rPr>
          <w:rFonts w:ascii="Arial" w:hAnsi="Arial" w:cs="Arial"/>
          <w:color w:val="010000"/>
          <w:sz w:val="20"/>
        </w:rPr>
        <w:t>02:</w:t>
      </w:r>
      <w:r w:rsidRPr="00E616FA">
        <w:rPr>
          <w:rFonts w:ascii="Arial" w:hAnsi="Arial" w:cs="Arial"/>
          <w:color w:val="010000"/>
          <w:sz w:val="20"/>
        </w:rPr>
        <w:t xml:space="preserve"> Property rights incurred from t</w:t>
      </w:r>
      <w:r w:rsidRPr="00E616FA">
        <w:rPr>
          <w:rFonts w:ascii="Arial" w:hAnsi="Arial" w:cs="Arial"/>
          <w:color w:val="010000"/>
          <w:sz w:val="20"/>
        </w:rPr>
        <w:t xml:space="preserve">he development, exploitation and business of the Club Land with an area of </w:t>
      </w:r>
      <w:r w:rsidRPr="00E616FA">
        <w:rPr>
          <w:rFonts w:ascii="Arial" w:hAnsi="Arial" w:cs="Arial"/>
          <w:color w:val="010000"/>
          <w:sz w:val="20"/>
        </w:rPr>
        <w:t>14,700</w:t>
      </w:r>
      <w:r w:rsidRPr="00E616FA">
        <w:rPr>
          <w:rFonts w:ascii="Arial" w:hAnsi="Arial" w:cs="Arial"/>
          <w:color w:val="010000"/>
          <w:sz w:val="20"/>
        </w:rPr>
        <w:t xml:space="preserve"> square meters under the Lang Co Golf Course and Resort Investment Project in Loc Vinh Commune, Phu Loc District, Thua Thien Hue Province</w:t>
      </w:r>
    </w:p>
    <w:p w14:paraId="0000000F" w14:textId="77777777" w:rsidR="000363A0" w:rsidRPr="00E616FA" w:rsidRDefault="00E616FA" w:rsidP="00E616FA">
      <w:pPr>
        <w:numPr>
          <w:ilvl w:val="0"/>
          <w:numId w:val="1"/>
        </w:numPr>
        <w:pBdr>
          <w:top w:val="nil"/>
          <w:left w:val="nil"/>
          <w:bottom w:val="nil"/>
          <w:right w:val="nil"/>
          <w:between w:val="nil"/>
        </w:pBdr>
        <w:tabs>
          <w:tab w:val="left" w:pos="673"/>
        </w:tabs>
        <w:spacing w:after="120" w:line="360" w:lineRule="auto"/>
        <w:rPr>
          <w:rFonts w:ascii="Arial" w:eastAsia="Arial" w:hAnsi="Arial" w:cs="Arial"/>
          <w:color w:val="010000"/>
          <w:sz w:val="20"/>
          <w:szCs w:val="20"/>
        </w:rPr>
      </w:pPr>
      <w:r w:rsidRPr="00E616FA">
        <w:rPr>
          <w:rFonts w:ascii="Arial" w:hAnsi="Arial" w:cs="Arial"/>
          <w:color w:val="010000"/>
          <w:sz w:val="20"/>
        </w:rPr>
        <w:t xml:space="preserve">Name of asset </w:t>
      </w:r>
      <w:r w:rsidRPr="00E616FA">
        <w:rPr>
          <w:rFonts w:ascii="Arial" w:hAnsi="Arial" w:cs="Arial"/>
          <w:color w:val="010000"/>
          <w:sz w:val="20"/>
        </w:rPr>
        <w:t>03:</w:t>
      </w:r>
      <w:r w:rsidRPr="00E616FA">
        <w:rPr>
          <w:rFonts w:ascii="Arial" w:hAnsi="Arial" w:cs="Arial"/>
          <w:color w:val="010000"/>
          <w:sz w:val="20"/>
        </w:rPr>
        <w:t xml:space="preserve"> Property rights inc</w:t>
      </w:r>
      <w:r w:rsidRPr="00E616FA">
        <w:rPr>
          <w:rFonts w:ascii="Arial" w:hAnsi="Arial" w:cs="Arial"/>
          <w:color w:val="010000"/>
          <w:sz w:val="20"/>
        </w:rPr>
        <w:t xml:space="preserve">urred from the development, exploitation and business of the Lakeside Villa Area of </w:t>
      </w:r>
      <w:r w:rsidRPr="00E616FA">
        <w:rPr>
          <w:rFonts w:ascii="Arial" w:hAnsi="Arial" w:cs="Arial"/>
          <w:color w:val="010000"/>
          <w:sz w:val="20"/>
        </w:rPr>
        <w:t>110,400</w:t>
      </w:r>
      <w:r w:rsidRPr="00E616FA">
        <w:rPr>
          <w:rFonts w:ascii="Arial" w:hAnsi="Arial" w:cs="Arial"/>
          <w:color w:val="010000"/>
          <w:sz w:val="20"/>
        </w:rPr>
        <w:t xml:space="preserve"> square meters under the Lang Co Golf Course and Resort Investment Project in Loc Vinh Commune, Phu Loc District, Thua Thien Hue Province. Owner</w:t>
      </w:r>
      <w:r w:rsidRPr="00E616FA">
        <w:rPr>
          <w:rFonts w:ascii="Arial" w:hAnsi="Arial" w:cs="Arial"/>
          <w:color w:val="010000"/>
          <w:sz w:val="20"/>
        </w:rPr>
        <w:t>:</w:t>
      </w:r>
      <w:r w:rsidRPr="00E616FA">
        <w:rPr>
          <w:rFonts w:ascii="Arial" w:hAnsi="Arial" w:cs="Arial"/>
          <w:color w:val="010000"/>
          <w:sz w:val="20"/>
        </w:rPr>
        <w:t xml:space="preserve"> </w:t>
      </w:r>
      <w:r w:rsidRPr="00E616FA">
        <w:rPr>
          <w:rFonts w:ascii="Arial" w:hAnsi="Arial" w:cs="Arial"/>
          <w:color w:val="010000"/>
          <w:sz w:val="20"/>
        </w:rPr>
        <w:t>Thuan Phu Lang Co D</w:t>
      </w:r>
      <w:r w:rsidRPr="00E616FA">
        <w:rPr>
          <w:rFonts w:ascii="Arial" w:hAnsi="Arial" w:cs="Arial"/>
          <w:color w:val="010000"/>
          <w:sz w:val="20"/>
        </w:rPr>
        <w:t>evelopment Investment Joint Stock Company</w:t>
      </w:r>
      <w:r w:rsidRPr="00E616FA">
        <w:rPr>
          <w:rFonts w:ascii="Arial" w:hAnsi="Arial" w:cs="Arial"/>
          <w:color w:val="010000"/>
          <w:sz w:val="20"/>
        </w:rPr>
        <w:t>.</w:t>
      </w:r>
    </w:p>
    <w:p w14:paraId="00000010" w14:textId="77777777" w:rsidR="000363A0" w:rsidRPr="00E616FA" w:rsidRDefault="00E616FA" w:rsidP="00E616FA">
      <w:pPr>
        <w:numPr>
          <w:ilvl w:val="0"/>
          <w:numId w:val="1"/>
        </w:numPr>
        <w:pBdr>
          <w:top w:val="nil"/>
          <w:left w:val="nil"/>
          <w:bottom w:val="nil"/>
          <w:right w:val="nil"/>
          <w:between w:val="nil"/>
        </w:pBdr>
        <w:tabs>
          <w:tab w:val="left" w:pos="673"/>
        </w:tabs>
        <w:spacing w:after="120" w:line="360" w:lineRule="auto"/>
        <w:rPr>
          <w:rFonts w:ascii="Arial" w:eastAsia="Arial" w:hAnsi="Arial" w:cs="Arial"/>
          <w:color w:val="010000"/>
          <w:sz w:val="20"/>
          <w:szCs w:val="20"/>
        </w:rPr>
      </w:pPr>
      <w:r w:rsidRPr="00E616FA">
        <w:rPr>
          <w:rFonts w:ascii="Arial" w:hAnsi="Arial" w:cs="Arial"/>
          <w:color w:val="010000"/>
          <w:sz w:val="20"/>
        </w:rPr>
        <w:t xml:space="preserve">Name of asset </w:t>
      </w:r>
      <w:r w:rsidRPr="00E616FA">
        <w:rPr>
          <w:rFonts w:ascii="Arial" w:hAnsi="Arial" w:cs="Arial"/>
          <w:color w:val="010000"/>
          <w:sz w:val="20"/>
        </w:rPr>
        <w:t>04:</w:t>
      </w:r>
      <w:r w:rsidRPr="00E616FA">
        <w:rPr>
          <w:rFonts w:ascii="Arial" w:hAnsi="Arial" w:cs="Arial"/>
          <w:color w:val="010000"/>
          <w:sz w:val="20"/>
        </w:rPr>
        <w:t xml:space="preserve"> Property rights incurred from the development, exploitation and business of the Golf Course with an area of </w:t>
      </w:r>
      <w:r w:rsidRPr="00E616FA">
        <w:rPr>
          <w:rFonts w:ascii="Arial" w:hAnsi="Arial" w:cs="Arial"/>
          <w:color w:val="010000"/>
          <w:sz w:val="20"/>
        </w:rPr>
        <w:t>21,200</w:t>
      </w:r>
      <w:r w:rsidRPr="00E616FA">
        <w:rPr>
          <w:rFonts w:ascii="Arial" w:hAnsi="Arial" w:cs="Arial"/>
          <w:color w:val="010000"/>
          <w:sz w:val="20"/>
        </w:rPr>
        <w:t xml:space="preserve"> square meters under the Lang Co Golf Course and Resort Investment Project in Loc</w:t>
      </w:r>
      <w:r w:rsidRPr="00E616FA">
        <w:rPr>
          <w:rFonts w:ascii="Arial" w:hAnsi="Arial" w:cs="Arial"/>
          <w:color w:val="010000"/>
          <w:sz w:val="20"/>
        </w:rPr>
        <w:t xml:space="preserve"> Vinh Commune, Phu Loc District, Thua Thien Hue Province. Owner</w:t>
      </w:r>
      <w:r w:rsidRPr="00E616FA">
        <w:rPr>
          <w:rFonts w:ascii="Arial" w:hAnsi="Arial" w:cs="Arial"/>
          <w:color w:val="010000"/>
          <w:sz w:val="20"/>
        </w:rPr>
        <w:t>:</w:t>
      </w:r>
      <w:r w:rsidRPr="00E616FA">
        <w:rPr>
          <w:rFonts w:ascii="Arial" w:hAnsi="Arial" w:cs="Arial"/>
          <w:color w:val="010000"/>
          <w:sz w:val="20"/>
        </w:rPr>
        <w:t xml:space="preserve"> </w:t>
      </w:r>
      <w:r w:rsidRPr="00E616FA">
        <w:rPr>
          <w:rFonts w:ascii="Arial" w:hAnsi="Arial" w:cs="Arial"/>
          <w:color w:val="010000"/>
          <w:sz w:val="20"/>
        </w:rPr>
        <w:t>Thuan Phu Lang Co Development Investment Joint Stock Company</w:t>
      </w:r>
      <w:r w:rsidRPr="00E616FA">
        <w:rPr>
          <w:rFonts w:ascii="Arial" w:hAnsi="Arial" w:cs="Arial"/>
          <w:color w:val="010000"/>
          <w:sz w:val="20"/>
        </w:rPr>
        <w:t>.</w:t>
      </w:r>
    </w:p>
    <w:p w14:paraId="00000011" w14:textId="77777777" w:rsidR="000363A0" w:rsidRPr="00E616FA" w:rsidRDefault="00E616FA" w:rsidP="00E616FA">
      <w:pPr>
        <w:numPr>
          <w:ilvl w:val="0"/>
          <w:numId w:val="1"/>
        </w:numPr>
        <w:pBdr>
          <w:top w:val="nil"/>
          <w:left w:val="nil"/>
          <w:bottom w:val="nil"/>
          <w:right w:val="nil"/>
          <w:between w:val="nil"/>
        </w:pBdr>
        <w:tabs>
          <w:tab w:val="left" w:pos="673"/>
        </w:tabs>
        <w:spacing w:after="120" w:line="360" w:lineRule="auto"/>
        <w:rPr>
          <w:rFonts w:ascii="Arial" w:eastAsia="Arial" w:hAnsi="Arial" w:cs="Arial"/>
          <w:color w:val="010000"/>
          <w:sz w:val="20"/>
          <w:szCs w:val="20"/>
        </w:rPr>
      </w:pPr>
      <w:r w:rsidRPr="00E616FA">
        <w:rPr>
          <w:rFonts w:ascii="Arial" w:hAnsi="Arial" w:cs="Arial"/>
          <w:color w:val="010000"/>
          <w:sz w:val="20"/>
        </w:rPr>
        <w:t xml:space="preserve"> Other collaterals of the Company or the Third Party approved by KLB.</w:t>
      </w:r>
    </w:p>
    <w:p w14:paraId="00000012" w14:textId="37290704" w:rsidR="000363A0" w:rsidRPr="00E616FA" w:rsidRDefault="00E616FA" w:rsidP="00E616FA">
      <w:pPr>
        <w:pBdr>
          <w:top w:val="nil"/>
          <w:left w:val="nil"/>
          <w:bottom w:val="nil"/>
          <w:right w:val="nil"/>
          <w:between w:val="nil"/>
        </w:pBdr>
        <w:spacing w:after="120" w:line="360" w:lineRule="auto"/>
        <w:rPr>
          <w:rFonts w:ascii="Arial" w:eastAsia="Arial" w:hAnsi="Arial" w:cs="Arial"/>
          <w:color w:val="010000"/>
          <w:sz w:val="20"/>
          <w:szCs w:val="20"/>
        </w:rPr>
      </w:pPr>
      <w:r w:rsidRPr="00E616FA">
        <w:rPr>
          <w:rFonts w:ascii="Arial" w:hAnsi="Arial" w:cs="Arial"/>
          <w:color w:val="010000"/>
          <w:sz w:val="20"/>
        </w:rPr>
        <w:t xml:space="preserve">‎‎Article </w:t>
      </w:r>
      <w:r w:rsidRPr="00E616FA">
        <w:rPr>
          <w:rFonts w:ascii="Arial" w:hAnsi="Arial" w:cs="Arial"/>
          <w:color w:val="010000"/>
          <w:sz w:val="20"/>
        </w:rPr>
        <w:t>3</w:t>
      </w:r>
      <w:r w:rsidRPr="00E616FA">
        <w:rPr>
          <w:rFonts w:ascii="Arial" w:hAnsi="Arial" w:cs="Arial"/>
          <w:color w:val="010000"/>
          <w:sz w:val="20"/>
        </w:rPr>
        <w:t>. Assign/authorize and implement work</w:t>
      </w:r>
      <w:r w:rsidR="00883491" w:rsidRPr="00E616FA">
        <w:rPr>
          <w:rFonts w:ascii="Arial" w:hAnsi="Arial" w:cs="Arial"/>
          <w:color w:val="010000"/>
          <w:sz w:val="20"/>
        </w:rPr>
        <w:t>s</w:t>
      </w:r>
      <w:r w:rsidRPr="00E616FA">
        <w:rPr>
          <w:rFonts w:ascii="Arial" w:hAnsi="Arial" w:cs="Arial"/>
          <w:color w:val="010000"/>
          <w:sz w:val="20"/>
        </w:rPr>
        <w:t>:</w:t>
      </w:r>
    </w:p>
    <w:p w14:paraId="00000013" w14:textId="3BFEF3BA" w:rsidR="000363A0" w:rsidRPr="00E616FA" w:rsidRDefault="00E616FA" w:rsidP="00E616FA">
      <w:pPr>
        <w:numPr>
          <w:ilvl w:val="0"/>
          <w:numId w:val="2"/>
        </w:numPr>
        <w:pBdr>
          <w:top w:val="nil"/>
          <w:left w:val="nil"/>
          <w:bottom w:val="nil"/>
          <w:right w:val="nil"/>
          <w:between w:val="nil"/>
        </w:pBdr>
        <w:tabs>
          <w:tab w:val="left" w:pos="673"/>
        </w:tabs>
        <w:spacing w:after="120" w:line="360" w:lineRule="auto"/>
        <w:rPr>
          <w:rFonts w:ascii="Arial" w:eastAsia="Arial" w:hAnsi="Arial" w:cs="Arial"/>
          <w:color w:val="010000"/>
          <w:sz w:val="20"/>
          <w:szCs w:val="20"/>
        </w:rPr>
      </w:pPr>
      <w:r w:rsidRPr="00E616FA">
        <w:rPr>
          <w:rFonts w:ascii="Arial" w:hAnsi="Arial" w:cs="Arial"/>
          <w:color w:val="010000"/>
          <w:sz w:val="20"/>
        </w:rPr>
        <w:lastRenderedPageBreak/>
        <w:t>Assign t</w:t>
      </w:r>
      <w:r w:rsidRPr="00E616FA">
        <w:rPr>
          <w:rFonts w:ascii="Arial" w:hAnsi="Arial" w:cs="Arial"/>
          <w:color w:val="010000"/>
          <w:sz w:val="20"/>
        </w:rPr>
        <w:t xml:space="preserve">he General Manager - the Legal Representative of the Company to act on behalf of the Company to implement, communicate, negotiate, and make decisions on issues related to the receipt of credit extension from KLB, including but not limited to the following </w:t>
      </w:r>
      <w:r w:rsidRPr="00E616FA">
        <w:rPr>
          <w:rFonts w:ascii="Arial" w:hAnsi="Arial" w:cs="Arial"/>
          <w:color w:val="010000"/>
          <w:sz w:val="20"/>
        </w:rPr>
        <w:t>issues</w:t>
      </w:r>
      <w:r w:rsidRPr="00E616FA">
        <w:rPr>
          <w:rFonts w:ascii="Arial" w:hAnsi="Arial" w:cs="Arial"/>
          <w:color w:val="010000"/>
          <w:sz w:val="20"/>
        </w:rPr>
        <w:t>:</w:t>
      </w:r>
    </w:p>
    <w:p w14:paraId="00000014" w14:textId="77777777" w:rsidR="000363A0" w:rsidRPr="00E616FA" w:rsidRDefault="00E616FA" w:rsidP="00E616FA">
      <w:pPr>
        <w:numPr>
          <w:ilvl w:val="0"/>
          <w:numId w:val="1"/>
        </w:numPr>
        <w:pBdr>
          <w:top w:val="nil"/>
          <w:left w:val="nil"/>
          <w:bottom w:val="nil"/>
          <w:right w:val="nil"/>
          <w:between w:val="nil"/>
        </w:pBdr>
        <w:tabs>
          <w:tab w:val="left" w:pos="673"/>
        </w:tabs>
        <w:spacing w:after="120" w:line="360" w:lineRule="auto"/>
        <w:rPr>
          <w:rFonts w:ascii="Arial" w:eastAsia="Arial" w:hAnsi="Arial" w:cs="Arial"/>
          <w:color w:val="010000"/>
          <w:sz w:val="20"/>
          <w:szCs w:val="20"/>
        </w:rPr>
      </w:pPr>
      <w:r w:rsidRPr="00E616FA">
        <w:rPr>
          <w:rFonts w:ascii="Arial" w:hAnsi="Arial" w:cs="Arial"/>
          <w:color w:val="010000"/>
          <w:sz w:val="20"/>
        </w:rPr>
        <w:t>Issues related to loan interest rate, fees, disbursement conditions, debt acceptance, guarantee issuance, repayment terms, rights and obligations and all other relevant terms and conditions.</w:t>
      </w:r>
    </w:p>
    <w:p w14:paraId="00000015" w14:textId="77777777" w:rsidR="000363A0" w:rsidRPr="00E616FA" w:rsidRDefault="00E616FA" w:rsidP="00E616FA">
      <w:pPr>
        <w:numPr>
          <w:ilvl w:val="0"/>
          <w:numId w:val="1"/>
        </w:numPr>
        <w:pBdr>
          <w:top w:val="nil"/>
          <w:left w:val="nil"/>
          <w:bottom w:val="nil"/>
          <w:right w:val="nil"/>
          <w:between w:val="nil"/>
        </w:pBdr>
        <w:tabs>
          <w:tab w:val="left" w:pos="673"/>
        </w:tabs>
        <w:spacing w:after="120" w:line="360" w:lineRule="auto"/>
        <w:rPr>
          <w:rFonts w:ascii="Arial" w:eastAsia="Arial" w:hAnsi="Arial" w:cs="Arial"/>
          <w:color w:val="010000"/>
          <w:sz w:val="20"/>
          <w:szCs w:val="20"/>
        </w:rPr>
      </w:pPr>
      <w:r w:rsidRPr="00E616FA">
        <w:rPr>
          <w:rFonts w:ascii="Arial" w:hAnsi="Arial" w:cs="Arial"/>
          <w:color w:val="010000"/>
          <w:sz w:val="20"/>
        </w:rPr>
        <w:t>Issues related to collateral such as the rights and oblig</w:t>
      </w:r>
      <w:r w:rsidRPr="00E616FA">
        <w:rPr>
          <w:rFonts w:ascii="Arial" w:hAnsi="Arial" w:cs="Arial"/>
          <w:color w:val="010000"/>
          <w:sz w:val="20"/>
        </w:rPr>
        <w:t>ations of the parties, collateral amount, scope of collateral, duration of collateral, cases and methods of handling collateral, dispute resolution methods, etc. with KLB and the owner of collaterals, carrying out procedures for registering collateral tran</w:t>
      </w:r>
      <w:r w:rsidRPr="00E616FA">
        <w:rPr>
          <w:rFonts w:ascii="Arial" w:hAnsi="Arial" w:cs="Arial"/>
          <w:color w:val="010000"/>
          <w:sz w:val="20"/>
        </w:rPr>
        <w:t>sactions.</w:t>
      </w:r>
    </w:p>
    <w:p w14:paraId="00000016" w14:textId="3D5F273B" w:rsidR="000363A0" w:rsidRPr="00E616FA" w:rsidRDefault="00E616FA" w:rsidP="00E616FA">
      <w:pPr>
        <w:numPr>
          <w:ilvl w:val="0"/>
          <w:numId w:val="1"/>
        </w:numPr>
        <w:pBdr>
          <w:top w:val="nil"/>
          <w:left w:val="nil"/>
          <w:bottom w:val="nil"/>
          <w:right w:val="nil"/>
          <w:between w:val="nil"/>
        </w:pBdr>
        <w:tabs>
          <w:tab w:val="left" w:pos="673"/>
        </w:tabs>
        <w:spacing w:after="120" w:line="360" w:lineRule="auto"/>
        <w:rPr>
          <w:rFonts w:ascii="Arial" w:eastAsia="Arial" w:hAnsi="Arial" w:cs="Arial"/>
          <w:color w:val="010000"/>
          <w:sz w:val="20"/>
          <w:szCs w:val="20"/>
        </w:rPr>
      </w:pPr>
      <w:r w:rsidRPr="00E616FA">
        <w:rPr>
          <w:rFonts w:ascii="Arial" w:hAnsi="Arial" w:cs="Arial"/>
          <w:color w:val="010000"/>
          <w:sz w:val="20"/>
        </w:rPr>
        <w:t xml:space="preserve">Sign </w:t>
      </w:r>
      <w:r w:rsidR="00883491" w:rsidRPr="00E616FA">
        <w:rPr>
          <w:rFonts w:ascii="Arial" w:hAnsi="Arial" w:cs="Arial"/>
          <w:color w:val="010000"/>
          <w:sz w:val="20"/>
        </w:rPr>
        <w:t xml:space="preserve">the </w:t>
      </w:r>
      <w:r w:rsidRPr="00E616FA">
        <w:rPr>
          <w:rFonts w:ascii="Arial" w:hAnsi="Arial" w:cs="Arial"/>
          <w:color w:val="010000"/>
          <w:sz w:val="20"/>
        </w:rPr>
        <w:t>Credit Contracts,</w:t>
      </w:r>
      <w:r w:rsidR="00883491" w:rsidRPr="00E616FA">
        <w:rPr>
          <w:rFonts w:ascii="Arial" w:hAnsi="Arial" w:cs="Arial"/>
          <w:color w:val="010000"/>
          <w:sz w:val="20"/>
        </w:rPr>
        <w:t xml:space="preserve"> the</w:t>
      </w:r>
      <w:r w:rsidRPr="00E616FA">
        <w:rPr>
          <w:rFonts w:ascii="Arial" w:hAnsi="Arial" w:cs="Arial"/>
          <w:color w:val="010000"/>
          <w:sz w:val="20"/>
        </w:rPr>
        <w:t xml:space="preserve"> Guarantee Contracts, </w:t>
      </w:r>
      <w:r w:rsidR="00883491" w:rsidRPr="00E616FA">
        <w:rPr>
          <w:rFonts w:ascii="Arial" w:hAnsi="Arial" w:cs="Arial"/>
          <w:color w:val="010000"/>
          <w:sz w:val="20"/>
        </w:rPr>
        <w:t xml:space="preserve">the </w:t>
      </w:r>
      <w:r w:rsidRPr="00E616FA">
        <w:rPr>
          <w:rFonts w:ascii="Arial" w:hAnsi="Arial" w:cs="Arial"/>
          <w:color w:val="010000"/>
          <w:sz w:val="20"/>
        </w:rPr>
        <w:t xml:space="preserve">Contracts for granting line of credit, etc. and </w:t>
      </w:r>
      <w:r w:rsidR="00883491" w:rsidRPr="00E616FA">
        <w:rPr>
          <w:rFonts w:ascii="Arial" w:hAnsi="Arial" w:cs="Arial"/>
          <w:color w:val="010000"/>
          <w:sz w:val="20"/>
        </w:rPr>
        <w:t xml:space="preserve">the </w:t>
      </w:r>
      <w:r w:rsidRPr="00E616FA">
        <w:rPr>
          <w:rFonts w:ascii="Arial" w:hAnsi="Arial" w:cs="Arial"/>
          <w:color w:val="010000"/>
          <w:sz w:val="20"/>
        </w:rPr>
        <w:t xml:space="preserve">Mortgage/Pledge Contracts, etc. and all contracts, agreements, documents incurring in relation to the Company's receipt of credit </w:t>
      </w:r>
      <w:r w:rsidRPr="00E616FA">
        <w:rPr>
          <w:rFonts w:ascii="Arial" w:hAnsi="Arial" w:cs="Arial"/>
          <w:color w:val="010000"/>
          <w:sz w:val="20"/>
        </w:rPr>
        <w:t>extension at KLB.</w:t>
      </w:r>
    </w:p>
    <w:p w14:paraId="00000017" w14:textId="77777777" w:rsidR="000363A0" w:rsidRPr="00E616FA" w:rsidRDefault="00E616FA" w:rsidP="00E616FA">
      <w:pPr>
        <w:numPr>
          <w:ilvl w:val="0"/>
          <w:numId w:val="2"/>
        </w:numPr>
        <w:pBdr>
          <w:top w:val="nil"/>
          <w:left w:val="nil"/>
          <w:bottom w:val="nil"/>
          <w:right w:val="nil"/>
          <w:between w:val="nil"/>
        </w:pBdr>
        <w:tabs>
          <w:tab w:val="left" w:pos="673"/>
        </w:tabs>
        <w:spacing w:after="120" w:line="360" w:lineRule="auto"/>
        <w:rPr>
          <w:rFonts w:ascii="Arial" w:eastAsia="Arial" w:hAnsi="Arial" w:cs="Arial"/>
          <w:color w:val="010000"/>
          <w:sz w:val="20"/>
          <w:szCs w:val="20"/>
        </w:rPr>
      </w:pPr>
      <w:r w:rsidRPr="00E616FA">
        <w:rPr>
          <w:rFonts w:ascii="Arial" w:hAnsi="Arial" w:cs="Arial"/>
          <w:color w:val="010000"/>
          <w:sz w:val="20"/>
        </w:rPr>
        <w:t>The General Manager - the Legal Representative of the Company is allowed to authorize other organizations/individuals to implement these authorized contents.</w:t>
      </w:r>
    </w:p>
    <w:p w14:paraId="00000018" w14:textId="77777777" w:rsidR="000363A0" w:rsidRPr="00E616FA" w:rsidRDefault="00E616FA" w:rsidP="00E616FA">
      <w:pPr>
        <w:pBdr>
          <w:top w:val="nil"/>
          <w:left w:val="nil"/>
          <w:bottom w:val="nil"/>
          <w:right w:val="nil"/>
          <w:between w:val="nil"/>
        </w:pBdr>
        <w:spacing w:after="120" w:line="360" w:lineRule="auto"/>
        <w:rPr>
          <w:rFonts w:ascii="Arial" w:eastAsia="Arial" w:hAnsi="Arial" w:cs="Arial"/>
          <w:color w:val="010000"/>
          <w:sz w:val="20"/>
          <w:szCs w:val="20"/>
        </w:rPr>
      </w:pPr>
      <w:r w:rsidRPr="00E616FA">
        <w:rPr>
          <w:rFonts w:ascii="Arial" w:hAnsi="Arial" w:cs="Arial"/>
          <w:color w:val="010000"/>
          <w:sz w:val="20"/>
        </w:rPr>
        <w:t xml:space="preserve">‎‎Article </w:t>
      </w:r>
      <w:r w:rsidRPr="00E616FA">
        <w:rPr>
          <w:rFonts w:ascii="Arial" w:hAnsi="Arial" w:cs="Arial"/>
          <w:color w:val="010000"/>
          <w:sz w:val="20"/>
        </w:rPr>
        <w:t>4</w:t>
      </w:r>
      <w:r w:rsidRPr="00E616FA">
        <w:rPr>
          <w:rFonts w:ascii="Arial" w:hAnsi="Arial" w:cs="Arial"/>
          <w:color w:val="010000"/>
          <w:sz w:val="20"/>
        </w:rPr>
        <w:t xml:space="preserve">. This Resolution takes effect from the date of its signing. Affiliated departments and individuals are responsible for implementing this Resolution. </w:t>
      </w:r>
      <w:bookmarkEnd w:id="0"/>
    </w:p>
    <w:sectPr w:rsidR="000363A0" w:rsidRPr="00E616FA" w:rsidSect="00E616FA">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embedRegular r:id="rId1" w:fontKey="{F5864FF0-A83A-448D-BB63-C5F1DAC8B978}"/>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embedRegular r:id="rId2" w:fontKey="{239F2C35-9DE3-4505-B913-D28424DCA8B1}"/>
    <w:embedItalic r:id="rId3" w:fontKey="{4997ADBE-AB45-4562-930D-CB3845C4D520}"/>
  </w:font>
  <w:font w:name="Aptos Display">
    <w:charset w:val="00"/>
    <w:family w:val="swiss"/>
    <w:pitch w:val="variable"/>
    <w:sig w:usb0="20000287" w:usb1="00000003" w:usb2="00000000" w:usb3="00000000" w:csb0="0000019F" w:csb1="00000000"/>
    <w:embedRegular r:id="rId4" w:fontKey="{FC815ECA-861D-4AC0-BF56-6BD4A3E69585}"/>
  </w:font>
  <w:font w:name="Aptos">
    <w:charset w:val="00"/>
    <w:family w:val="swiss"/>
    <w:pitch w:val="variable"/>
    <w:sig w:usb0="20000287" w:usb1="00000003" w:usb2="00000000" w:usb3="00000000" w:csb0="0000019F" w:csb1="00000000"/>
    <w:embedRegular r:id="rId5" w:fontKey="{62F6BC38-099D-4B10-BA07-FF5777BAA3C3}"/>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84CB9"/>
    <w:multiLevelType w:val="multilevel"/>
    <w:tmpl w:val="06648F5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174375C"/>
    <w:multiLevelType w:val="multilevel"/>
    <w:tmpl w:val="7390FCA0"/>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7875772A"/>
    <w:multiLevelType w:val="multilevel"/>
    <w:tmpl w:val="3B907FF6"/>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A0"/>
    <w:rsid w:val="000363A0"/>
    <w:rsid w:val="003573EA"/>
    <w:rsid w:val="00883491"/>
    <w:rsid w:val="00E6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103E2"/>
  <w15:docId w15:val="{C7E16BC6-C1F2-4BA4-8E0D-48A59DF6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BF2E4C"/>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color w:val="BF2E4C"/>
      <w:sz w:val="16"/>
      <w:szCs w:val="16"/>
      <w:u w:val="none"/>
      <w:shd w:val="clear" w:color="auto" w:fill="auto"/>
    </w:rPr>
  </w:style>
  <w:style w:type="paragraph" w:customStyle="1" w:styleId="Bodytext30">
    <w:name w:val="Body text (3)"/>
    <w:basedOn w:val="Normal"/>
    <w:link w:val="Bodytext3"/>
    <w:pPr>
      <w:spacing w:line="202" w:lineRule="auto"/>
      <w:ind w:firstLine="230"/>
    </w:pPr>
    <w:rPr>
      <w:rFonts w:ascii="Arial" w:eastAsia="Arial" w:hAnsi="Arial" w:cs="Arial"/>
      <w:color w:val="BF2E4C"/>
    </w:rPr>
  </w:style>
  <w:style w:type="paragraph" w:customStyle="1" w:styleId="Heading11">
    <w:name w:val="Heading #1"/>
    <w:basedOn w:val="Normal"/>
    <w:link w:val="Heading10"/>
    <w:pPr>
      <w:ind w:left="2420"/>
      <w:outlineLvl w:val="0"/>
    </w:pPr>
    <w:rPr>
      <w:rFonts w:ascii="Times New Roman" w:eastAsia="Times New Roman" w:hAnsi="Times New Roman" w:cs="Times New Roman"/>
      <w:b/>
      <w:bCs/>
    </w:rPr>
  </w:style>
  <w:style w:type="paragraph" w:styleId="BodyText">
    <w:name w:val="Body Text"/>
    <w:basedOn w:val="Normal"/>
    <w:link w:val="BodyTextChar"/>
    <w:qFormat/>
    <w:pPr>
      <w:spacing w:line="334" w:lineRule="auto"/>
    </w:pPr>
    <w:rPr>
      <w:rFonts w:ascii="Times New Roman" w:eastAsia="Times New Roman" w:hAnsi="Times New Roman" w:cs="Times New Roman"/>
    </w:rPr>
  </w:style>
  <w:style w:type="paragraph" w:customStyle="1" w:styleId="Bodytext20">
    <w:name w:val="Body text (2)"/>
    <w:basedOn w:val="Normal"/>
    <w:link w:val="Bodytext2"/>
    <w:pPr>
      <w:spacing w:line="283" w:lineRule="auto"/>
    </w:pPr>
    <w:rPr>
      <w:rFonts w:ascii="Arial" w:eastAsia="Arial" w:hAnsi="Arial" w:cs="Arial"/>
      <w:b/>
      <w:bCs/>
      <w:color w:val="BF2E4C"/>
      <w:sz w:val="16"/>
      <w:szCs w:val="16"/>
    </w:rPr>
  </w:style>
  <w:style w:type="paragraph" w:styleId="NormalWeb">
    <w:name w:val="Normal (Web)"/>
    <w:basedOn w:val="Normal"/>
    <w:uiPriority w:val="99"/>
    <w:semiHidden/>
    <w:unhideWhenUsed/>
    <w:rsid w:val="003C19A6"/>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n3PjaeW+jwp6ZfKMmFpUHNYvFg==">CgMxLjA4AHIhMTRXU2ZhMlFzWXEwVV9tY2YyTnA1bE0zYkhndHdPcXh6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555</Words>
  <Characters>3095</Characters>
  <Application>Microsoft Office Word</Application>
  <DocSecurity>0</DocSecurity>
  <Lines>50</Lines>
  <Paragraphs>27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Sao Khue</cp:lastModifiedBy>
  <cp:revision>3</cp:revision>
  <dcterms:created xsi:type="dcterms:W3CDTF">2024-08-15T03:07:00Z</dcterms:created>
  <dcterms:modified xsi:type="dcterms:W3CDTF">2024-08-16T01:12:00Z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d4a05ef5ab21bcab12098286f6823ab193a1d0f40a9981180ec1466946e66b47</vt:lpwstr>
  </property>
</Properties>
</file>