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0FA" w:rsidRPr="004D0627" w:rsidRDefault="004D0627" w:rsidP="00E27B99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4D0627">
        <w:rPr>
          <w:rFonts w:ascii="Arial" w:hAnsi="Arial" w:cs="Arial"/>
          <w:b/>
          <w:color w:val="010000"/>
          <w:sz w:val="20"/>
        </w:rPr>
        <w:t>SSN: Annual General Mandate 2024</w:t>
      </w:r>
    </w:p>
    <w:p w:rsidR="001340FA" w:rsidRPr="004D0627" w:rsidRDefault="004D0627" w:rsidP="00E27B99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D0627">
        <w:rPr>
          <w:rFonts w:ascii="Arial" w:hAnsi="Arial" w:cs="Arial"/>
          <w:color w:val="010000"/>
          <w:sz w:val="20"/>
        </w:rPr>
        <w:t xml:space="preserve">On July 26, 2024, Saigon </w:t>
      </w:r>
      <w:proofErr w:type="spellStart"/>
      <w:r w:rsidRPr="004D0627">
        <w:rPr>
          <w:rFonts w:ascii="Arial" w:hAnsi="Arial" w:cs="Arial"/>
          <w:color w:val="010000"/>
          <w:sz w:val="20"/>
        </w:rPr>
        <w:t>Seaproducts</w:t>
      </w:r>
      <w:proofErr w:type="spellEnd"/>
      <w:r w:rsidRPr="004D0627">
        <w:rPr>
          <w:rFonts w:ascii="Arial" w:hAnsi="Arial" w:cs="Arial"/>
          <w:color w:val="010000"/>
          <w:sz w:val="20"/>
        </w:rPr>
        <w:t xml:space="preserve"> Import Export Joint Stock Company announced </w:t>
      </w:r>
      <w:r w:rsidR="007320BB" w:rsidRPr="004D0627">
        <w:rPr>
          <w:rFonts w:ascii="Arial" w:hAnsi="Arial" w:cs="Arial"/>
          <w:color w:val="010000"/>
          <w:sz w:val="20"/>
        </w:rPr>
        <w:t xml:space="preserve">General </w:t>
      </w:r>
      <w:r w:rsidRPr="004D0627">
        <w:rPr>
          <w:rFonts w:ascii="Arial" w:hAnsi="Arial" w:cs="Arial"/>
          <w:color w:val="010000"/>
          <w:sz w:val="20"/>
        </w:rPr>
        <w:t>Mandate No. 01/NQ-DHDCD/2024 as follows:</w:t>
      </w:r>
    </w:p>
    <w:p w:rsidR="001340FA" w:rsidRPr="004D0627" w:rsidRDefault="004D0627" w:rsidP="00E27B99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proofErr w:type="gramStart"/>
      <w:r w:rsidRPr="004D0627">
        <w:rPr>
          <w:rFonts w:ascii="Arial" w:hAnsi="Arial" w:cs="Arial"/>
          <w:color w:val="010000"/>
          <w:sz w:val="20"/>
        </w:rPr>
        <w:t>‎‎Article 1.</w:t>
      </w:r>
      <w:proofErr w:type="gramEnd"/>
      <w:r w:rsidRPr="004D0627">
        <w:rPr>
          <w:rFonts w:ascii="Arial" w:hAnsi="Arial" w:cs="Arial"/>
          <w:color w:val="010000"/>
          <w:sz w:val="20"/>
        </w:rPr>
        <w:t xml:space="preserve"> Contents of the </w:t>
      </w:r>
      <w:r w:rsidR="007320BB" w:rsidRPr="004D0627">
        <w:rPr>
          <w:rFonts w:ascii="Arial" w:hAnsi="Arial" w:cs="Arial"/>
          <w:color w:val="010000"/>
          <w:sz w:val="20"/>
        </w:rPr>
        <w:t xml:space="preserve">General </w:t>
      </w:r>
      <w:r w:rsidRPr="004D0627">
        <w:rPr>
          <w:rFonts w:ascii="Arial" w:hAnsi="Arial" w:cs="Arial"/>
          <w:color w:val="010000"/>
          <w:sz w:val="20"/>
        </w:rPr>
        <w:t>Mandate</w:t>
      </w:r>
      <w:r w:rsidR="007320BB" w:rsidRPr="004D0627">
        <w:rPr>
          <w:rFonts w:ascii="Arial" w:hAnsi="Arial" w:cs="Arial"/>
          <w:color w:val="010000"/>
          <w:sz w:val="20"/>
        </w:rPr>
        <w:t xml:space="preserve"> </w:t>
      </w:r>
    </w:p>
    <w:p w:rsidR="001340FA" w:rsidRPr="004D0627" w:rsidRDefault="004D0627" w:rsidP="00E27B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D0627">
        <w:rPr>
          <w:rFonts w:ascii="Arial" w:hAnsi="Arial" w:cs="Arial"/>
          <w:color w:val="010000"/>
          <w:sz w:val="20"/>
        </w:rPr>
        <w:t xml:space="preserve">Approve the Report on business activities results 2023 and the operating orientation 2024 of the Board of Management. </w:t>
      </w:r>
    </w:p>
    <w:p w:rsidR="001340FA" w:rsidRPr="004D0627" w:rsidRDefault="004D0627" w:rsidP="00E27B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3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D0627">
        <w:rPr>
          <w:rFonts w:ascii="Arial" w:hAnsi="Arial" w:cs="Arial"/>
          <w:color w:val="010000"/>
          <w:sz w:val="20"/>
        </w:rPr>
        <w:t>Approve the Report on business activities results of the Board of Directors 2023 and the Plan 2024.</w:t>
      </w:r>
    </w:p>
    <w:p w:rsidR="001340FA" w:rsidRPr="004D0627" w:rsidRDefault="004D0627" w:rsidP="00E27B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3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D0627">
        <w:rPr>
          <w:rFonts w:ascii="Arial" w:hAnsi="Arial" w:cs="Arial"/>
          <w:color w:val="010000"/>
          <w:sz w:val="20"/>
        </w:rPr>
        <w:t>Approve the Report on business activities results of the Supervisory Board 2023 and the Orientation 2024.</w:t>
      </w:r>
    </w:p>
    <w:p w:rsidR="001340FA" w:rsidRPr="004D0627" w:rsidRDefault="004D0627" w:rsidP="00E27B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3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D0627">
        <w:rPr>
          <w:rFonts w:ascii="Arial" w:hAnsi="Arial" w:cs="Arial"/>
          <w:color w:val="010000"/>
          <w:sz w:val="20"/>
        </w:rPr>
        <w:t xml:space="preserve">Approve the </w:t>
      </w:r>
      <w:r w:rsidR="007320BB" w:rsidRPr="004D0627">
        <w:rPr>
          <w:rFonts w:ascii="Arial" w:hAnsi="Arial" w:cs="Arial"/>
          <w:color w:val="010000"/>
          <w:sz w:val="20"/>
        </w:rPr>
        <w:t>r</w:t>
      </w:r>
      <w:r w:rsidRPr="004D0627">
        <w:rPr>
          <w:rFonts w:ascii="Arial" w:hAnsi="Arial" w:cs="Arial"/>
          <w:color w:val="010000"/>
          <w:sz w:val="20"/>
        </w:rPr>
        <w:t xml:space="preserve">esults on business activities 2023 and profit distribution 2023. </w:t>
      </w:r>
    </w:p>
    <w:p w:rsidR="001340FA" w:rsidRPr="00293A63" w:rsidRDefault="004D0627" w:rsidP="002D6E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center"/>
        <w:rPr>
          <w:rFonts w:ascii="Arial" w:eastAsia="Arial" w:hAnsi="Arial" w:cs="Arial"/>
          <w:i/>
          <w:color w:val="010000"/>
          <w:sz w:val="20"/>
          <w:szCs w:val="20"/>
        </w:rPr>
      </w:pPr>
      <w:r w:rsidRPr="00293A63">
        <w:rPr>
          <w:rFonts w:ascii="Arial" w:hAnsi="Arial" w:cs="Arial"/>
          <w:i/>
          <w:color w:val="010000"/>
          <w:sz w:val="20"/>
        </w:rPr>
        <w:t>Production and business results 2023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510"/>
        <w:gridCol w:w="3537"/>
      </w:tblGrid>
      <w:tr w:rsidR="001340FA" w:rsidRPr="00293A63" w:rsidTr="004D0627">
        <w:tc>
          <w:tcPr>
            <w:tcW w:w="304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40FA" w:rsidRPr="00293A63" w:rsidRDefault="007320BB" w:rsidP="002D6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i/>
                <w:color w:val="010000"/>
                <w:sz w:val="20"/>
                <w:szCs w:val="20"/>
              </w:rPr>
            </w:pPr>
            <w:r w:rsidRPr="00293A63">
              <w:rPr>
                <w:rFonts w:ascii="Arial" w:hAnsi="Arial" w:cs="Arial"/>
                <w:i/>
                <w:color w:val="010000"/>
                <w:sz w:val="20"/>
              </w:rPr>
              <w:t xml:space="preserve">Production and Business </w:t>
            </w:r>
            <w:r w:rsidR="004D0627" w:rsidRPr="00293A63">
              <w:rPr>
                <w:rFonts w:ascii="Arial" w:hAnsi="Arial" w:cs="Arial"/>
                <w:i/>
                <w:color w:val="010000"/>
                <w:sz w:val="20"/>
              </w:rPr>
              <w:t>Results</w:t>
            </w:r>
            <w:r w:rsidRPr="00293A63">
              <w:rPr>
                <w:rFonts w:ascii="Arial" w:hAnsi="Arial" w:cs="Arial"/>
                <w:i/>
                <w:color w:val="010000"/>
                <w:sz w:val="20"/>
              </w:rPr>
              <w:t xml:space="preserve"> 2023</w:t>
            </w:r>
          </w:p>
        </w:tc>
        <w:tc>
          <w:tcPr>
            <w:tcW w:w="195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40FA" w:rsidRPr="00293A63" w:rsidRDefault="007320BB" w:rsidP="002D6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i/>
                <w:color w:val="010000"/>
                <w:sz w:val="20"/>
                <w:szCs w:val="20"/>
              </w:rPr>
            </w:pPr>
            <w:r w:rsidRPr="00293A63">
              <w:rPr>
                <w:rFonts w:ascii="Arial" w:hAnsi="Arial" w:cs="Arial"/>
                <w:i/>
                <w:color w:val="010000"/>
                <w:sz w:val="20"/>
              </w:rPr>
              <w:t>Amount (VND)</w:t>
            </w:r>
          </w:p>
        </w:tc>
      </w:tr>
      <w:tr w:rsidR="001340FA" w:rsidRPr="00293A63" w:rsidTr="004D0627">
        <w:tc>
          <w:tcPr>
            <w:tcW w:w="304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40FA" w:rsidRPr="002D6E1E" w:rsidRDefault="004D0627" w:rsidP="004D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b/>
                <w:i/>
                <w:color w:val="010000"/>
                <w:sz w:val="20"/>
                <w:szCs w:val="20"/>
              </w:rPr>
            </w:pPr>
            <w:r w:rsidRPr="002D6E1E">
              <w:rPr>
                <w:rFonts w:ascii="Arial" w:hAnsi="Arial" w:cs="Arial"/>
                <w:b/>
                <w:i/>
                <w:color w:val="010000"/>
                <w:sz w:val="20"/>
              </w:rPr>
              <w:t>I. Total revenue</w:t>
            </w:r>
          </w:p>
        </w:tc>
        <w:tc>
          <w:tcPr>
            <w:tcW w:w="195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40FA" w:rsidRPr="002D6E1E" w:rsidRDefault="004D0627" w:rsidP="002D6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b/>
                <w:i/>
                <w:color w:val="010000"/>
                <w:sz w:val="20"/>
                <w:szCs w:val="20"/>
              </w:rPr>
            </w:pPr>
            <w:r w:rsidRPr="002D6E1E">
              <w:rPr>
                <w:rFonts w:ascii="Arial" w:hAnsi="Arial" w:cs="Arial"/>
                <w:b/>
                <w:i/>
                <w:color w:val="010000"/>
                <w:sz w:val="20"/>
              </w:rPr>
              <w:t>13,755,540,584</w:t>
            </w:r>
          </w:p>
        </w:tc>
      </w:tr>
      <w:tr w:rsidR="001340FA" w:rsidRPr="00293A63" w:rsidTr="004D0627">
        <w:tc>
          <w:tcPr>
            <w:tcW w:w="304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40FA" w:rsidRPr="00293A63" w:rsidRDefault="004D0627" w:rsidP="002D6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i/>
                <w:color w:val="010000"/>
                <w:sz w:val="20"/>
                <w:szCs w:val="20"/>
              </w:rPr>
            </w:pPr>
            <w:r w:rsidRPr="00293A63">
              <w:rPr>
                <w:rFonts w:ascii="Arial" w:hAnsi="Arial" w:cs="Arial"/>
                <w:i/>
                <w:color w:val="010000"/>
                <w:sz w:val="20"/>
              </w:rPr>
              <w:t>Net revenue on goods sales and services supply</w:t>
            </w:r>
          </w:p>
        </w:tc>
        <w:tc>
          <w:tcPr>
            <w:tcW w:w="195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40FA" w:rsidRPr="00293A63" w:rsidRDefault="004D0627" w:rsidP="002D6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i/>
                <w:color w:val="010000"/>
                <w:sz w:val="20"/>
                <w:szCs w:val="20"/>
              </w:rPr>
            </w:pPr>
            <w:r w:rsidRPr="00293A63">
              <w:rPr>
                <w:rFonts w:ascii="Arial" w:hAnsi="Arial" w:cs="Arial"/>
                <w:i/>
                <w:color w:val="010000"/>
                <w:sz w:val="20"/>
              </w:rPr>
              <w:t>13,753,639,958</w:t>
            </w:r>
          </w:p>
        </w:tc>
      </w:tr>
      <w:tr w:rsidR="001340FA" w:rsidRPr="00293A63" w:rsidTr="004D0627">
        <w:tc>
          <w:tcPr>
            <w:tcW w:w="304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40FA" w:rsidRPr="00293A63" w:rsidRDefault="004D0627" w:rsidP="002D6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i/>
                <w:color w:val="010000"/>
                <w:sz w:val="20"/>
                <w:szCs w:val="20"/>
              </w:rPr>
            </w:pPr>
            <w:r w:rsidRPr="00293A63">
              <w:rPr>
                <w:rFonts w:ascii="Arial" w:hAnsi="Arial" w:cs="Arial"/>
                <w:i/>
                <w:color w:val="010000"/>
                <w:sz w:val="20"/>
              </w:rPr>
              <w:t>Revenue from financial activities</w:t>
            </w:r>
          </w:p>
        </w:tc>
        <w:tc>
          <w:tcPr>
            <w:tcW w:w="195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40FA" w:rsidRPr="00293A63" w:rsidRDefault="004D0627" w:rsidP="002D6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i/>
                <w:color w:val="010000"/>
                <w:sz w:val="20"/>
                <w:szCs w:val="20"/>
              </w:rPr>
            </w:pPr>
            <w:r w:rsidRPr="00293A63">
              <w:rPr>
                <w:rFonts w:ascii="Arial" w:hAnsi="Arial" w:cs="Arial"/>
                <w:i/>
                <w:color w:val="010000"/>
                <w:sz w:val="20"/>
              </w:rPr>
              <w:t>1,900,626</w:t>
            </w:r>
          </w:p>
        </w:tc>
      </w:tr>
      <w:tr w:rsidR="001340FA" w:rsidRPr="00293A63" w:rsidTr="004D0627">
        <w:tc>
          <w:tcPr>
            <w:tcW w:w="304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40FA" w:rsidRPr="00293A63" w:rsidRDefault="004D0627" w:rsidP="002D6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i/>
                <w:color w:val="010000"/>
                <w:sz w:val="20"/>
                <w:szCs w:val="20"/>
              </w:rPr>
            </w:pPr>
            <w:r w:rsidRPr="00293A63">
              <w:rPr>
                <w:rFonts w:ascii="Arial" w:hAnsi="Arial" w:cs="Arial"/>
                <w:i/>
                <w:color w:val="010000"/>
                <w:sz w:val="20"/>
              </w:rPr>
              <w:t>Other incomes</w:t>
            </w:r>
          </w:p>
        </w:tc>
        <w:tc>
          <w:tcPr>
            <w:tcW w:w="195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40FA" w:rsidRPr="00293A63" w:rsidRDefault="004D0627" w:rsidP="002D6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i/>
                <w:color w:val="010000"/>
                <w:sz w:val="20"/>
                <w:szCs w:val="20"/>
              </w:rPr>
            </w:pPr>
            <w:r w:rsidRPr="00293A63">
              <w:rPr>
                <w:rFonts w:ascii="Arial" w:hAnsi="Arial" w:cs="Arial"/>
                <w:i/>
                <w:color w:val="010000"/>
                <w:sz w:val="20"/>
              </w:rPr>
              <w:t>0</w:t>
            </w:r>
          </w:p>
        </w:tc>
      </w:tr>
      <w:tr w:rsidR="001340FA" w:rsidRPr="00293A63" w:rsidTr="004D0627">
        <w:tc>
          <w:tcPr>
            <w:tcW w:w="304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40FA" w:rsidRPr="002D6E1E" w:rsidRDefault="004D0627" w:rsidP="004D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b/>
                <w:i/>
                <w:color w:val="010000"/>
                <w:sz w:val="20"/>
                <w:szCs w:val="20"/>
              </w:rPr>
            </w:pPr>
            <w:r w:rsidRPr="002D6E1E">
              <w:rPr>
                <w:rFonts w:ascii="Arial" w:hAnsi="Arial" w:cs="Arial"/>
                <w:b/>
                <w:i/>
                <w:color w:val="010000"/>
                <w:sz w:val="20"/>
              </w:rPr>
              <w:t>2. Total expenses</w:t>
            </w:r>
          </w:p>
        </w:tc>
        <w:tc>
          <w:tcPr>
            <w:tcW w:w="195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40FA" w:rsidRPr="002D6E1E" w:rsidRDefault="004D0627" w:rsidP="002D6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b/>
                <w:i/>
                <w:color w:val="010000"/>
                <w:sz w:val="20"/>
                <w:szCs w:val="20"/>
              </w:rPr>
            </w:pPr>
            <w:r w:rsidRPr="002D6E1E">
              <w:rPr>
                <w:rFonts w:ascii="Arial" w:hAnsi="Arial" w:cs="Arial"/>
                <w:b/>
                <w:i/>
                <w:color w:val="010000"/>
                <w:sz w:val="20"/>
              </w:rPr>
              <w:t>18,366,897,854</w:t>
            </w:r>
          </w:p>
        </w:tc>
      </w:tr>
      <w:tr w:rsidR="001340FA" w:rsidRPr="00293A63" w:rsidTr="004D0627">
        <w:tc>
          <w:tcPr>
            <w:tcW w:w="304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40FA" w:rsidRPr="00293A63" w:rsidRDefault="00401E19" w:rsidP="002D6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i/>
                <w:color w:val="010000"/>
                <w:sz w:val="20"/>
                <w:szCs w:val="20"/>
              </w:rPr>
            </w:pPr>
            <w:r w:rsidRPr="00293A63">
              <w:rPr>
                <w:rFonts w:ascii="Arial" w:hAnsi="Arial" w:cs="Arial"/>
                <w:i/>
                <w:color w:val="010000"/>
                <w:sz w:val="20"/>
              </w:rPr>
              <w:t>Cost of goods sold</w:t>
            </w:r>
          </w:p>
        </w:tc>
        <w:tc>
          <w:tcPr>
            <w:tcW w:w="195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40FA" w:rsidRPr="00293A63" w:rsidRDefault="004D0627" w:rsidP="002D6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i/>
                <w:color w:val="010000"/>
                <w:sz w:val="20"/>
                <w:szCs w:val="20"/>
              </w:rPr>
            </w:pPr>
            <w:r w:rsidRPr="00293A63">
              <w:rPr>
                <w:rFonts w:ascii="Arial" w:hAnsi="Arial" w:cs="Arial"/>
                <w:i/>
                <w:color w:val="010000"/>
                <w:sz w:val="20"/>
              </w:rPr>
              <w:t>8,363,469,381</w:t>
            </w:r>
          </w:p>
        </w:tc>
      </w:tr>
      <w:tr w:rsidR="001340FA" w:rsidRPr="00293A63" w:rsidTr="004D0627">
        <w:tc>
          <w:tcPr>
            <w:tcW w:w="304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40FA" w:rsidRPr="00293A63" w:rsidRDefault="004D0627" w:rsidP="002D6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i/>
                <w:color w:val="010000"/>
                <w:sz w:val="20"/>
                <w:szCs w:val="20"/>
              </w:rPr>
            </w:pPr>
            <w:r w:rsidRPr="00293A63">
              <w:rPr>
                <w:rFonts w:ascii="Arial" w:hAnsi="Arial" w:cs="Arial"/>
                <w:i/>
                <w:color w:val="010000"/>
                <w:sz w:val="20"/>
              </w:rPr>
              <w:t>Selling expense</w:t>
            </w:r>
            <w:r w:rsidR="00401E19" w:rsidRPr="00293A63">
              <w:rPr>
                <w:rFonts w:ascii="Arial" w:hAnsi="Arial" w:cs="Arial"/>
                <w:i/>
                <w:color w:val="010000"/>
                <w:sz w:val="20"/>
              </w:rPr>
              <w:t>s</w:t>
            </w:r>
          </w:p>
        </w:tc>
        <w:tc>
          <w:tcPr>
            <w:tcW w:w="195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40FA" w:rsidRPr="00293A63" w:rsidRDefault="004D0627" w:rsidP="002D6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i/>
                <w:color w:val="010000"/>
                <w:sz w:val="20"/>
                <w:szCs w:val="20"/>
              </w:rPr>
            </w:pPr>
            <w:r w:rsidRPr="00293A63">
              <w:rPr>
                <w:rFonts w:ascii="Arial" w:hAnsi="Arial" w:cs="Arial"/>
                <w:i/>
                <w:color w:val="010000"/>
                <w:sz w:val="20"/>
              </w:rPr>
              <w:t>0</w:t>
            </w:r>
          </w:p>
        </w:tc>
      </w:tr>
      <w:tr w:rsidR="001340FA" w:rsidRPr="00293A63" w:rsidTr="004D0627">
        <w:tc>
          <w:tcPr>
            <w:tcW w:w="304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40FA" w:rsidRPr="00293A63" w:rsidRDefault="00401E19" w:rsidP="002D6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i/>
                <w:color w:val="010000"/>
                <w:sz w:val="20"/>
                <w:szCs w:val="20"/>
              </w:rPr>
            </w:pPr>
            <w:r w:rsidRPr="00293A63">
              <w:rPr>
                <w:rFonts w:ascii="Arial" w:hAnsi="Arial" w:cs="Arial"/>
                <w:i/>
                <w:color w:val="010000"/>
                <w:sz w:val="20"/>
              </w:rPr>
              <w:t>Administrative expenses</w:t>
            </w:r>
          </w:p>
        </w:tc>
        <w:tc>
          <w:tcPr>
            <w:tcW w:w="195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40FA" w:rsidRPr="00293A63" w:rsidRDefault="004D0627" w:rsidP="002D6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i/>
                <w:color w:val="010000"/>
                <w:sz w:val="20"/>
                <w:szCs w:val="20"/>
              </w:rPr>
            </w:pPr>
            <w:r w:rsidRPr="00293A63">
              <w:rPr>
                <w:rFonts w:ascii="Arial" w:hAnsi="Arial" w:cs="Arial"/>
                <w:i/>
                <w:color w:val="010000"/>
                <w:sz w:val="20"/>
              </w:rPr>
              <w:t>9,372,761,152</w:t>
            </w:r>
          </w:p>
        </w:tc>
      </w:tr>
      <w:tr w:rsidR="001340FA" w:rsidRPr="00293A63" w:rsidTr="004D0627">
        <w:tc>
          <w:tcPr>
            <w:tcW w:w="304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40FA" w:rsidRPr="00293A63" w:rsidRDefault="004D0627" w:rsidP="002D6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i/>
                <w:color w:val="010000"/>
                <w:sz w:val="20"/>
                <w:szCs w:val="20"/>
              </w:rPr>
            </w:pPr>
            <w:r w:rsidRPr="00293A63">
              <w:rPr>
                <w:rFonts w:ascii="Arial" w:hAnsi="Arial" w:cs="Arial"/>
                <w:i/>
                <w:color w:val="010000"/>
                <w:sz w:val="20"/>
              </w:rPr>
              <w:t>Financial expenses</w:t>
            </w:r>
          </w:p>
        </w:tc>
        <w:tc>
          <w:tcPr>
            <w:tcW w:w="195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40FA" w:rsidRPr="00293A63" w:rsidRDefault="004D0627" w:rsidP="002D6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i/>
                <w:color w:val="010000"/>
                <w:sz w:val="20"/>
                <w:szCs w:val="20"/>
              </w:rPr>
            </w:pPr>
            <w:r w:rsidRPr="00293A63">
              <w:rPr>
                <w:rFonts w:ascii="Arial" w:hAnsi="Arial" w:cs="Arial"/>
                <w:i/>
                <w:color w:val="010000"/>
                <w:sz w:val="20"/>
              </w:rPr>
              <w:t>(357,574,500)</w:t>
            </w:r>
          </w:p>
        </w:tc>
      </w:tr>
      <w:tr w:rsidR="001340FA" w:rsidRPr="00293A63" w:rsidTr="004D0627">
        <w:tc>
          <w:tcPr>
            <w:tcW w:w="304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40FA" w:rsidRPr="00293A63" w:rsidRDefault="004D0627" w:rsidP="002D6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i/>
                <w:color w:val="010000"/>
                <w:sz w:val="20"/>
                <w:szCs w:val="20"/>
              </w:rPr>
            </w:pPr>
            <w:r w:rsidRPr="00293A63">
              <w:rPr>
                <w:rFonts w:ascii="Arial" w:hAnsi="Arial" w:cs="Arial"/>
                <w:i/>
                <w:color w:val="010000"/>
                <w:sz w:val="20"/>
              </w:rPr>
              <w:t>Other expenses</w:t>
            </w:r>
          </w:p>
        </w:tc>
        <w:tc>
          <w:tcPr>
            <w:tcW w:w="195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40FA" w:rsidRPr="00293A63" w:rsidRDefault="004D0627" w:rsidP="002D6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i/>
                <w:color w:val="010000"/>
                <w:sz w:val="20"/>
                <w:szCs w:val="20"/>
              </w:rPr>
            </w:pPr>
            <w:r w:rsidRPr="00293A63">
              <w:rPr>
                <w:rFonts w:ascii="Arial" w:hAnsi="Arial" w:cs="Arial"/>
                <w:i/>
                <w:color w:val="010000"/>
                <w:sz w:val="20"/>
              </w:rPr>
              <w:t>988,241,821</w:t>
            </w:r>
          </w:p>
        </w:tc>
      </w:tr>
      <w:tr w:rsidR="001340FA" w:rsidRPr="00293A63" w:rsidTr="004D0627">
        <w:tc>
          <w:tcPr>
            <w:tcW w:w="304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40FA" w:rsidRPr="002D6E1E" w:rsidRDefault="004D0627" w:rsidP="004D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b/>
                <w:i/>
                <w:color w:val="010000"/>
                <w:sz w:val="20"/>
                <w:szCs w:val="20"/>
              </w:rPr>
            </w:pPr>
            <w:r w:rsidRPr="002D6E1E">
              <w:rPr>
                <w:rFonts w:ascii="Arial" w:hAnsi="Arial" w:cs="Arial"/>
                <w:b/>
                <w:i/>
                <w:color w:val="010000"/>
                <w:sz w:val="20"/>
              </w:rPr>
              <w:t>3. Net profit from business activities</w:t>
            </w:r>
          </w:p>
        </w:tc>
        <w:tc>
          <w:tcPr>
            <w:tcW w:w="195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40FA" w:rsidRPr="002D6E1E" w:rsidRDefault="004D0627" w:rsidP="002D6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b/>
                <w:i/>
                <w:color w:val="010000"/>
                <w:sz w:val="20"/>
                <w:szCs w:val="20"/>
              </w:rPr>
            </w:pPr>
            <w:r w:rsidRPr="002D6E1E">
              <w:rPr>
                <w:rFonts w:ascii="Arial" w:hAnsi="Arial" w:cs="Arial"/>
                <w:b/>
                <w:i/>
                <w:color w:val="010000"/>
                <w:sz w:val="20"/>
              </w:rPr>
              <w:t>(3,623,115,449)</w:t>
            </w:r>
          </w:p>
        </w:tc>
      </w:tr>
      <w:tr w:rsidR="001340FA" w:rsidRPr="00293A63" w:rsidTr="004D0627">
        <w:tc>
          <w:tcPr>
            <w:tcW w:w="304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40FA" w:rsidRPr="00293A63" w:rsidRDefault="004D0627" w:rsidP="002D6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i/>
                <w:color w:val="010000"/>
                <w:sz w:val="20"/>
                <w:szCs w:val="20"/>
              </w:rPr>
            </w:pPr>
            <w:r w:rsidRPr="00293A63">
              <w:rPr>
                <w:rFonts w:ascii="Arial" w:hAnsi="Arial" w:cs="Arial"/>
                <w:i/>
                <w:color w:val="010000"/>
                <w:sz w:val="20"/>
              </w:rPr>
              <w:t>Other profits</w:t>
            </w:r>
          </w:p>
        </w:tc>
        <w:tc>
          <w:tcPr>
            <w:tcW w:w="195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40FA" w:rsidRPr="00293A63" w:rsidRDefault="004D0627" w:rsidP="002D6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i/>
                <w:color w:val="010000"/>
                <w:sz w:val="20"/>
                <w:szCs w:val="20"/>
              </w:rPr>
            </w:pPr>
            <w:r w:rsidRPr="00293A63">
              <w:rPr>
                <w:rFonts w:ascii="Arial" w:hAnsi="Arial" w:cs="Arial"/>
                <w:i/>
                <w:color w:val="010000"/>
                <w:sz w:val="20"/>
              </w:rPr>
              <w:t>(988,241,821)</w:t>
            </w:r>
          </w:p>
        </w:tc>
      </w:tr>
      <w:tr w:rsidR="001340FA" w:rsidRPr="00293A63" w:rsidTr="004D0627">
        <w:tc>
          <w:tcPr>
            <w:tcW w:w="304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40FA" w:rsidRPr="00293A63" w:rsidRDefault="00401E19" w:rsidP="002D6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i/>
                <w:color w:val="010000"/>
                <w:sz w:val="20"/>
                <w:szCs w:val="20"/>
              </w:rPr>
            </w:pPr>
            <w:r w:rsidRPr="00293A63">
              <w:rPr>
                <w:rFonts w:ascii="Arial" w:hAnsi="Arial" w:cs="Arial"/>
                <w:i/>
                <w:color w:val="010000"/>
                <w:sz w:val="20"/>
              </w:rPr>
              <w:t>Current income tax expense</w:t>
            </w:r>
          </w:p>
        </w:tc>
        <w:tc>
          <w:tcPr>
            <w:tcW w:w="195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40FA" w:rsidRPr="00293A63" w:rsidRDefault="001340FA" w:rsidP="002D6E1E">
            <w:pP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i/>
                <w:color w:val="010000"/>
                <w:sz w:val="20"/>
                <w:szCs w:val="20"/>
              </w:rPr>
            </w:pPr>
          </w:p>
        </w:tc>
      </w:tr>
      <w:tr w:rsidR="001340FA" w:rsidRPr="00293A63" w:rsidTr="004D0627">
        <w:tc>
          <w:tcPr>
            <w:tcW w:w="304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40FA" w:rsidRPr="002D6E1E" w:rsidRDefault="004D0627" w:rsidP="004D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b/>
                <w:i/>
                <w:color w:val="010000"/>
                <w:sz w:val="20"/>
                <w:szCs w:val="20"/>
              </w:rPr>
            </w:pPr>
            <w:r w:rsidRPr="002D6E1E">
              <w:rPr>
                <w:rFonts w:ascii="Arial" w:hAnsi="Arial" w:cs="Arial"/>
                <w:b/>
                <w:i/>
                <w:color w:val="010000"/>
                <w:sz w:val="20"/>
              </w:rPr>
              <w:t>4. Profit after tax</w:t>
            </w:r>
          </w:p>
        </w:tc>
        <w:tc>
          <w:tcPr>
            <w:tcW w:w="195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40FA" w:rsidRPr="002D6E1E" w:rsidRDefault="004D0627" w:rsidP="002D6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b/>
                <w:i/>
                <w:color w:val="010000"/>
                <w:sz w:val="20"/>
                <w:szCs w:val="20"/>
              </w:rPr>
            </w:pPr>
            <w:r w:rsidRPr="002D6E1E">
              <w:rPr>
                <w:rFonts w:ascii="Arial" w:hAnsi="Arial" w:cs="Arial"/>
                <w:b/>
                <w:i/>
                <w:color w:val="010000"/>
                <w:sz w:val="20"/>
              </w:rPr>
              <w:t>(4,611,357,270)</w:t>
            </w:r>
          </w:p>
        </w:tc>
      </w:tr>
    </w:tbl>
    <w:p w:rsidR="001340FA" w:rsidRPr="00293A63" w:rsidRDefault="004D0627" w:rsidP="00E27B99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i/>
          <w:color w:val="010000"/>
          <w:sz w:val="20"/>
          <w:szCs w:val="20"/>
        </w:rPr>
      </w:pPr>
      <w:r w:rsidRPr="00293A63">
        <w:rPr>
          <w:rFonts w:ascii="Arial" w:hAnsi="Arial" w:cs="Arial"/>
          <w:i/>
          <w:color w:val="010000"/>
          <w:sz w:val="20"/>
        </w:rPr>
        <w:t>Profit distribution plan 2023:</w:t>
      </w:r>
    </w:p>
    <w:p w:rsidR="001340FA" w:rsidRPr="00293A63" w:rsidRDefault="004D0627" w:rsidP="00E27B9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i/>
          <w:color w:val="010000"/>
          <w:sz w:val="20"/>
          <w:szCs w:val="20"/>
        </w:rPr>
      </w:pPr>
      <w:r w:rsidRPr="00293A63">
        <w:rPr>
          <w:rFonts w:ascii="Arial" w:hAnsi="Arial" w:cs="Arial"/>
          <w:i/>
          <w:color w:val="010000"/>
          <w:sz w:val="20"/>
        </w:rPr>
        <w:t xml:space="preserve">Due to the </w:t>
      </w:r>
      <w:r w:rsidR="00401E19" w:rsidRPr="00293A63">
        <w:rPr>
          <w:rFonts w:ascii="Arial" w:hAnsi="Arial" w:cs="Arial"/>
          <w:i/>
          <w:color w:val="010000"/>
          <w:sz w:val="20"/>
        </w:rPr>
        <w:t xml:space="preserve">production and business activities </w:t>
      </w:r>
      <w:r w:rsidRPr="00293A63">
        <w:rPr>
          <w:rFonts w:ascii="Arial" w:hAnsi="Arial" w:cs="Arial"/>
          <w:i/>
          <w:color w:val="010000"/>
          <w:sz w:val="20"/>
        </w:rPr>
        <w:t>loss in 2023, there will be no profit distribution in 2023.</w:t>
      </w:r>
    </w:p>
    <w:p w:rsidR="001340FA" w:rsidRPr="004D0627" w:rsidRDefault="004D0627" w:rsidP="00E27B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3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D0627">
        <w:rPr>
          <w:rFonts w:ascii="Arial" w:hAnsi="Arial" w:cs="Arial"/>
          <w:color w:val="010000"/>
          <w:sz w:val="20"/>
        </w:rPr>
        <w:t xml:space="preserve">Approve on the production and business </w:t>
      </w:r>
      <w:r w:rsidR="00401E19" w:rsidRPr="004D0627">
        <w:rPr>
          <w:rFonts w:ascii="Arial" w:hAnsi="Arial" w:cs="Arial"/>
          <w:color w:val="010000"/>
          <w:sz w:val="20"/>
        </w:rPr>
        <w:t>p</w:t>
      </w:r>
      <w:r w:rsidRPr="004D0627">
        <w:rPr>
          <w:rFonts w:ascii="Arial" w:hAnsi="Arial" w:cs="Arial"/>
          <w:color w:val="010000"/>
          <w:sz w:val="20"/>
        </w:rPr>
        <w:t>lan 2024.</w:t>
      </w:r>
    </w:p>
    <w:tbl>
      <w:tblPr>
        <w:tblStyle w:val="a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42"/>
        <w:gridCol w:w="3601"/>
        <w:gridCol w:w="2160"/>
        <w:gridCol w:w="1844"/>
      </w:tblGrid>
      <w:tr w:rsidR="001340FA" w:rsidRPr="00B577BF" w:rsidTr="004D0627">
        <w:tc>
          <w:tcPr>
            <w:tcW w:w="79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40FA" w:rsidRPr="00B577BF" w:rsidRDefault="004D0627" w:rsidP="002D6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i/>
                <w:color w:val="010000"/>
                <w:sz w:val="20"/>
                <w:szCs w:val="20"/>
              </w:rPr>
            </w:pPr>
            <w:bookmarkStart w:id="0" w:name="_GoBack" w:colFirst="2" w:colLast="2"/>
            <w:r w:rsidRPr="00B577BF">
              <w:rPr>
                <w:rFonts w:ascii="Arial" w:hAnsi="Arial" w:cs="Arial"/>
                <w:i/>
                <w:color w:val="010000"/>
                <w:sz w:val="20"/>
              </w:rPr>
              <w:lastRenderedPageBreak/>
              <w:t>No.</w:t>
            </w:r>
          </w:p>
        </w:tc>
        <w:tc>
          <w:tcPr>
            <w:tcW w:w="199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40FA" w:rsidRPr="00B577BF" w:rsidRDefault="004D0627" w:rsidP="002D6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i/>
                <w:color w:val="010000"/>
                <w:sz w:val="20"/>
                <w:szCs w:val="20"/>
              </w:rPr>
            </w:pPr>
            <w:r w:rsidRPr="00B577BF">
              <w:rPr>
                <w:rFonts w:ascii="Arial" w:hAnsi="Arial" w:cs="Arial"/>
                <w:i/>
                <w:color w:val="010000"/>
                <w:sz w:val="20"/>
              </w:rPr>
              <w:t>Targets</w:t>
            </w:r>
          </w:p>
        </w:tc>
        <w:tc>
          <w:tcPr>
            <w:tcW w:w="119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40FA" w:rsidRPr="00B577BF" w:rsidRDefault="004D0627" w:rsidP="002D6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i/>
                <w:color w:val="010000"/>
                <w:sz w:val="20"/>
                <w:szCs w:val="20"/>
              </w:rPr>
            </w:pPr>
            <w:r w:rsidRPr="00B577BF">
              <w:rPr>
                <w:rFonts w:ascii="Arial" w:hAnsi="Arial" w:cs="Arial"/>
                <w:i/>
                <w:color w:val="010000"/>
                <w:sz w:val="20"/>
              </w:rPr>
              <w:t>Unit</w:t>
            </w:r>
          </w:p>
        </w:tc>
        <w:tc>
          <w:tcPr>
            <w:tcW w:w="101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40FA" w:rsidRPr="00B577BF" w:rsidRDefault="004D0627" w:rsidP="002D6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i/>
                <w:color w:val="010000"/>
                <w:sz w:val="20"/>
                <w:szCs w:val="20"/>
              </w:rPr>
            </w:pPr>
            <w:r w:rsidRPr="00B577BF">
              <w:rPr>
                <w:rFonts w:ascii="Arial" w:hAnsi="Arial" w:cs="Arial"/>
                <w:i/>
                <w:color w:val="010000"/>
                <w:sz w:val="20"/>
              </w:rPr>
              <w:t>Value</w:t>
            </w:r>
          </w:p>
        </w:tc>
      </w:tr>
      <w:tr w:rsidR="001340FA" w:rsidRPr="00B577BF" w:rsidTr="004D0627">
        <w:tc>
          <w:tcPr>
            <w:tcW w:w="79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40FA" w:rsidRPr="00B577BF" w:rsidRDefault="004D0627" w:rsidP="002D6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i/>
                <w:color w:val="010000"/>
                <w:sz w:val="20"/>
                <w:szCs w:val="20"/>
              </w:rPr>
            </w:pPr>
            <w:r w:rsidRPr="00B577BF">
              <w:rPr>
                <w:rFonts w:ascii="Arial" w:hAnsi="Arial" w:cs="Arial"/>
                <w:i/>
                <w:color w:val="010000"/>
                <w:sz w:val="20"/>
              </w:rPr>
              <w:t>1</w:t>
            </w:r>
          </w:p>
        </w:tc>
        <w:tc>
          <w:tcPr>
            <w:tcW w:w="199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40FA" w:rsidRPr="00B577BF" w:rsidRDefault="004D0627" w:rsidP="002D6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i/>
                <w:color w:val="010000"/>
                <w:sz w:val="20"/>
                <w:szCs w:val="20"/>
              </w:rPr>
            </w:pPr>
            <w:r w:rsidRPr="00B577BF">
              <w:rPr>
                <w:rFonts w:ascii="Arial" w:hAnsi="Arial" w:cs="Arial"/>
                <w:i/>
                <w:color w:val="010000"/>
                <w:sz w:val="20"/>
              </w:rPr>
              <w:t>Total revenue</w:t>
            </w:r>
          </w:p>
        </w:tc>
        <w:tc>
          <w:tcPr>
            <w:tcW w:w="119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40FA" w:rsidRPr="00B577BF" w:rsidRDefault="004D0627" w:rsidP="002D6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i/>
                <w:color w:val="010000"/>
                <w:sz w:val="20"/>
                <w:szCs w:val="20"/>
              </w:rPr>
            </w:pPr>
            <w:r w:rsidRPr="00B577BF">
              <w:rPr>
                <w:rFonts w:ascii="Arial" w:hAnsi="Arial" w:cs="Arial"/>
                <w:i/>
                <w:color w:val="010000"/>
                <w:sz w:val="20"/>
              </w:rPr>
              <w:t>Billion VND</w:t>
            </w:r>
          </w:p>
        </w:tc>
        <w:tc>
          <w:tcPr>
            <w:tcW w:w="101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40FA" w:rsidRPr="00B577BF" w:rsidRDefault="004D0627" w:rsidP="002D6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i/>
                <w:color w:val="010000"/>
                <w:sz w:val="20"/>
                <w:szCs w:val="20"/>
              </w:rPr>
            </w:pPr>
            <w:r w:rsidRPr="00B577BF">
              <w:rPr>
                <w:rFonts w:ascii="Arial" w:hAnsi="Arial" w:cs="Arial"/>
                <w:i/>
                <w:color w:val="010000"/>
                <w:sz w:val="20"/>
              </w:rPr>
              <w:t>30</w:t>
            </w:r>
          </w:p>
        </w:tc>
      </w:tr>
      <w:tr w:rsidR="001340FA" w:rsidRPr="00B577BF" w:rsidTr="004D0627">
        <w:tc>
          <w:tcPr>
            <w:tcW w:w="79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40FA" w:rsidRPr="00B577BF" w:rsidRDefault="004D0627" w:rsidP="002D6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i/>
                <w:color w:val="010000"/>
                <w:sz w:val="20"/>
                <w:szCs w:val="20"/>
              </w:rPr>
            </w:pPr>
            <w:r w:rsidRPr="00B577BF">
              <w:rPr>
                <w:rFonts w:ascii="Arial" w:hAnsi="Arial" w:cs="Arial"/>
                <w:i/>
                <w:color w:val="010000"/>
                <w:sz w:val="20"/>
              </w:rPr>
              <w:t>2</w:t>
            </w:r>
          </w:p>
        </w:tc>
        <w:tc>
          <w:tcPr>
            <w:tcW w:w="199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40FA" w:rsidRPr="00B577BF" w:rsidRDefault="004D0627" w:rsidP="002D6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i/>
                <w:color w:val="010000"/>
                <w:sz w:val="20"/>
                <w:szCs w:val="20"/>
              </w:rPr>
            </w:pPr>
            <w:r w:rsidRPr="00B577BF">
              <w:rPr>
                <w:rFonts w:ascii="Arial" w:hAnsi="Arial" w:cs="Arial"/>
                <w:i/>
                <w:color w:val="010000"/>
                <w:sz w:val="20"/>
              </w:rPr>
              <w:t>Total expenses</w:t>
            </w:r>
          </w:p>
        </w:tc>
        <w:tc>
          <w:tcPr>
            <w:tcW w:w="119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40FA" w:rsidRPr="00B577BF" w:rsidRDefault="004D0627" w:rsidP="002D6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i/>
                <w:color w:val="010000"/>
                <w:sz w:val="20"/>
                <w:szCs w:val="20"/>
              </w:rPr>
            </w:pPr>
            <w:r w:rsidRPr="00B577BF">
              <w:rPr>
                <w:rFonts w:ascii="Arial" w:hAnsi="Arial" w:cs="Arial"/>
                <w:i/>
                <w:color w:val="010000"/>
                <w:sz w:val="20"/>
              </w:rPr>
              <w:t>Billion VND</w:t>
            </w:r>
          </w:p>
        </w:tc>
        <w:tc>
          <w:tcPr>
            <w:tcW w:w="101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40FA" w:rsidRPr="00B577BF" w:rsidRDefault="004D0627" w:rsidP="002D6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i/>
                <w:color w:val="010000"/>
                <w:sz w:val="20"/>
                <w:szCs w:val="20"/>
              </w:rPr>
            </w:pPr>
            <w:r w:rsidRPr="00B577BF">
              <w:rPr>
                <w:rFonts w:ascii="Arial" w:hAnsi="Arial" w:cs="Arial"/>
                <w:i/>
                <w:color w:val="010000"/>
                <w:sz w:val="20"/>
              </w:rPr>
              <w:t>28</w:t>
            </w:r>
          </w:p>
        </w:tc>
      </w:tr>
      <w:tr w:rsidR="001340FA" w:rsidRPr="00B577BF" w:rsidTr="004D0627">
        <w:tc>
          <w:tcPr>
            <w:tcW w:w="79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40FA" w:rsidRPr="00B577BF" w:rsidRDefault="004D0627" w:rsidP="002D6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i/>
                <w:color w:val="010000"/>
                <w:sz w:val="20"/>
                <w:szCs w:val="20"/>
              </w:rPr>
            </w:pPr>
            <w:r w:rsidRPr="00B577BF">
              <w:rPr>
                <w:rFonts w:ascii="Arial" w:hAnsi="Arial" w:cs="Arial"/>
                <w:i/>
                <w:color w:val="010000"/>
                <w:sz w:val="20"/>
              </w:rPr>
              <w:t>3</w:t>
            </w:r>
          </w:p>
        </w:tc>
        <w:tc>
          <w:tcPr>
            <w:tcW w:w="199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40FA" w:rsidRPr="00B577BF" w:rsidRDefault="004D0627" w:rsidP="002D6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i/>
                <w:color w:val="010000"/>
                <w:sz w:val="20"/>
                <w:szCs w:val="20"/>
              </w:rPr>
            </w:pPr>
            <w:r w:rsidRPr="00B577BF">
              <w:rPr>
                <w:rFonts w:ascii="Arial" w:hAnsi="Arial" w:cs="Arial"/>
                <w:i/>
                <w:color w:val="010000"/>
                <w:sz w:val="20"/>
              </w:rPr>
              <w:t>Total profit</w:t>
            </w:r>
          </w:p>
        </w:tc>
        <w:tc>
          <w:tcPr>
            <w:tcW w:w="119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40FA" w:rsidRPr="00B577BF" w:rsidRDefault="004D0627" w:rsidP="002D6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i/>
                <w:color w:val="010000"/>
                <w:sz w:val="20"/>
                <w:szCs w:val="20"/>
              </w:rPr>
            </w:pPr>
            <w:r w:rsidRPr="00B577BF">
              <w:rPr>
                <w:rFonts w:ascii="Arial" w:hAnsi="Arial" w:cs="Arial"/>
                <w:i/>
                <w:color w:val="010000"/>
                <w:sz w:val="20"/>
              </w:rPr>
              <w:t>Billion VND</w:t>
            </w:r>
          </w:p>
        </w:tc>
        <w:tc>
          <w:tcPr>
            <w:tcW w:w="101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40FA" w:rsidRPr="00B577BF" w:rsidRDefault="004D0627" w:rsidP="002D6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i/>
                <w:color w:val="010000"/>
                <w:sz w:val="20"/>
                <w:szCs w:val="20"/>
              </w:rPr>
            </w:pPr>
            <w:r w:rsidRPr="00B577BF">
              <w:rPr>
                <w:rFonts w:ascii="Arial" w:hAnsi="Arial" w:cs="Arial"/>
                <w:i/>
                <w:color w:val="010000"/>
                <w:sz w:val="20"/>
              </w:rPr>
              <w:t>02</w:t>
            </w:r>
          </w:p>
        </w:tc>
      </w:tr>
    </w:tbl>
    <w:bookmarkEnd w:id="0"/>
    <w:p w:rsidR="001340FA" w:rsidRPr="004D0627" w:rsidRDefault="004D0627" w:rsidP="00E27B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3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D0627">
        <w:rPr>
          <w:rFonts w:ascii="Arial" w:hAnsi="Arial" w:cs="Arial"/>
          <w:color w:val="010000"/>
          <w:sz w:val="20"/>
        </w:rPr>
        <w:t xml:space="preserve"> </w:t>
      </w:r>
      <w:r w:rsidR="00726A14" w:rsidRPr="004D0627">
        <w:rPr>
          <w:rFonts w:ascii="Arial" w:hAnsi="Arial" w:cs="Arial"/>
          <w:color w:val="010000"/>
          <w:sz w:val="20"/>
        </w:rPr>
        <w:t>Approve on authorizing the Board of Directors to select the audit company 2024.</w:t>
      </w:r>
    </w:p>
    <w:p w:rsidR="001340FA" w:rsidRPr="004D0627" w:rsidRDefault="004D0627" w:rsidP="00E27B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D0627">
        <w:rPr>
          <w:rFonts w:ascii="Arial" w:hAnsi="Arial" w:cs="Arial"/>
          <w:color w:val="010000"/>
          <w:sz w:val="20"/>
        </w:rPr>
        <w:t xml:space="preserve">Approve on remuneration grade for the Board of Directors, the Supervisory Board 2024. </w:t>
      </w:r>
    </w:p>
    <w:p w:rsidR="001340FA" w:rsidRPr="004D0627" w:rsidRDefault="004D0627" w:rsidP="00E27B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3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D0627">
        <w:rPr>
          <w:rFonts w:ascii="Arial" w:hAnsi="Arial" w:cs="Arial"/>
          <w:color w:val="010000"/>
          <w:sz w:val="20"/>
        </w:rPr>
        <w:t>Approve on results of the election for members of the Board of Directors for the term 2024-2029:</w:t>
      </w:r>
    </w:p>
    <w:p w:rsidR="001340FA" w:rsidRPr="004D0627" w:rsidRDefault="004D0627" w:rsidP="00E27B9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D0627">
        <w:rPr>
          <w:rFonts w:ascii="Arial" w:hAnsi="Arial" w:cs="Arial"/>
          <w:color w:val="010000"/>
          <w:sz w:val="20"/>
        </w:rPr>
        <w:t xml:space="preserve">Mr. Huynh Ngoc Dinh, Mr. Phan Ngoc </w:t>
      </w:r>
      <w:proofErr w:type="spellStart"/>
      <w:r w:rsidRPr="004D0627">
        <w:rPr>
          <w:rFonts w:ascii="Arial" w:hAnsi="Arial" w:cs="Arial"/>
          <w:color w:val="010000"/>
          <w:sz w:val="20"/>
        </w:rPr>
        <w:t>Hai</w:t>
      </w:r>
      <w:proofErr w:type="spellEnd"/>
      <w:r w:rsidRPr="004D0627">
        <w:rPr>
          <w:rFonts w:ascii="Arial" w:hAnsi="Arial" w:cs="Arial"/>
          <w:color w:val="010000"/>
          <w:sz w:val="20"/>
        </w:rPr>
        <w:t xml:space="preserve"> and Mr. Nguyen Hong Hue </w:t>
      </w:r>
      <w:r w:rsidR="00726A14" w:rsidRPr="004D0627">
        <w:rPr>
          <w:rFonts w:ascii="Arial" w:hAnsi="Arial" w:cs="Arial"/>
          <w:color w:val="010000"/>
          <w:sz w:val="20"/>
        </w:rPr>
        <w:t>were</w:t>
      </w:r>
      <w:r w:rsidRPr="004D0627">
        <w:rPr>
          <w:rFonts w:ascii="Arial" w:hAnsi="Arial" w:cs="Arial"/>
          <w:color w:val="010000"/>
          <w:sz w:val="20"/>
        </w:rPr>
        <w:t xml:space="preserve"> elected as members of the Board of Directors. </w:t>
      </w:r>
    </w:p>
    <w:p w:rsidR="001340FA" w:rsidRPr="004D0627" w:rsidRDefault="004D0627" w:rsidP="00E27B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D0627">
        <w:rPr>
          <w:rFonts w:ascii="Arial" w:hAnsi="Arial" w:cs="Arial"/>
          <w:color w:val="010000"/>
          <w:sz w:val="20"/>
        </w:rPr>
        <w:t>Approve on results of the election for members of the Board of Directors for the term 2024-2029:</w:t>
      </w:r>
    </w:p>
    <w:p w:rsidR="001340FA" w:rsidRPr="004D0627" w:rsidRDefault="004D0627" w:rsidP="00E27B9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D0627">
        <w:rPr>
          <w:rFonts w:ascii="Arial" w:hAnsi="Arial" w:cs="Arial"/>
          <w:color w:val="010000"/>
          <w:sz w:val="20"/>
        </w:rPr>
        <w:t xml:space="preserve">Mr. Nguyen Quoc Cuong, Mr. Do Anh Tuan and Mr. Nguyen Trong Tri </w:t>
      </w:r>
      <w:r w:rsidR="00726A14" w:rsidRPr="004D0627">
        <w:rPr>
          <w:rFonts w:ascii="Arial" w:hAnsi="Arial" w:cs="Arial"/>
          <w:color w:val="010000"/>
          <w:sz w:val="20"/>
        </w:rPr>
        <w:t>were</w:t>
      </w:r>
      <w:r w:rsidRPr="004D0627">
        <w:rPr>
          <w:rFonts w:ascii="Arial" w:hAnsi="Arial" w:cs="Arial"/>
          <w:color w:val="010000"/>
          <w:sz w:val="20"/>
        </w:rPr>
        <w:t xml:space="preserve"> elected as members of the Supervisory Board. </w:t>
      </w:r>
    </w:p>
    <w:p w:rsidR="001340FA" w:rsidRPr="004D0627" w:rsidRDefault="004D0627" w:rsidP="00E27B99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D0627">
        <w:rPr>
          <w:rFonts w:ascii="Arial" w:hAnsi="Arial" w:cs="Arial"/>
          <w:color w:val="010000"/>
          <w:sz w:val="20"/>
        </w:rPr>
        <w:t>Article 2: Terms of enforcement</w:t>
      </w:r>
    </w:p>
    <w:p w:rsidR="001340FA" w:rsidRPr="004D0627" w:rsidRDefault="004D0627" w:rsidP="00E27B9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D0627">
        <w:rPr>
          <w:rFonts w:ascii="Arial" w:hAnsi="Arial" w:cs="Arial"/>
          <w:color w:val="010000"/>
          <w:sz w:val="20"/>
        </w:rPr>
        <w:t xml:space="preserve">The </w:t>
      </w:r>
      <w:r w:rsidR="00726A14" w:rsidRPr="004D0627">
        <w:rPr>
          <w:rFonts w:ascii="Arial" w:hAnsi="Arial" w:cs="Arial"/>
          <w:color w:val="010000"/>
          <w:sz w:val="20"/>
        </w:rPr>
        <w:t>Second</w:t>
      </w:r>
      <w:r w:rsidRPr="004D0627">
        <w:rPr>
          <w:rFonts w:ascii="Arial" w:hAnsi="Arial" w:cs="Arial"/>
          <w:color w:val="010000"/>
          <w:sz w:val="20"/>
        </w:rPr>
        <w:t xml:space="preserve"> Annual General Meeting of Shareholders 2024 assign</w:t>
      </w:r>
      <w:r w:rsidR="00726A14" w:rsidRPr="004D0627">
        <w:rPr>
          <w:rFonts w:ascii="Arial" w:hAnsi="Arial" w:cs="Arial"/>
          <w:color w:val="010000"/>
          <w:sz w:val="20"/>
        </w:rPr>
        <w:t xml:space="preserve">ed </w:t>
      </w:r>
      <w:r w:rsidRPr="004D0627">
        <w:rPr>
          <w:rFonts w:ascii="Arial" w:hAnsi="Arial" w:cs="Arial"/>
          <w:color w:val="010000"/>
          <w:sz w:val="20"/>
        </w:rPr>
        <w:t xml:space="preserve">the Company’s Board of Directors to take responsibility for directing, reminding, and supervising the implementation of this </w:t>
      </w:r>
      <w:r w:rsidR="00726A14" w:rsidRPr="004D0627">
        <w:rPr>
          <w:rFonts w:ascii="Arial" w:hAnsi="Arial" w:cs="Arial"/>
          <w:color w:val="010000"/>
          <w:sz w:val="20"/>
        </w:rPr>
        <w:t xml:space="preserve">General </w:t>
      </w:r>
      <w:r w:rsidRPr="004D0627">
        <w:rPr>
          <w:rFonts w:ascii="Arial" w:hAnsi="Arial" w:cs="Arial"/>
          <w:color w:val="010000"/>
          <w:sz w:val="20"/>
        </w:rPr>
        <w:t xml:space="preserve">Mandate’s contents, taking effect from the date of its signing. </w:t>
      </w:r>
    </w:p>
    <w:sectPr w:rsidR="001340FA" w:rsidRPr="004D0627" w:rsidSect="004D0627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17D60"/>
    <w:multiLevelType w:val="multilevel"/>
    <w:tmpl w:val="5C64BAA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0553300"/>
    <w:multiLevelType w:val="multilevel"/>
    <w:tmpl w:val="46CA397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0FA"/>
    <w:rsid w:val="001340FA"/>
    <w:rsid w:val="00293A63"/>
    <w:rsid w:val="002D6E1E"/>
    <w:rsid w:val="00401E19"/>
    <w:rsid w:val="004D0627"/>
    <w:rsid w:val="00726A14"/>
    <w:rsid w:val="007320BB"/>
    <w:rsid w:val="00B577BF"/>
    <w:rsid w:val="00DB1B43"/>
    <w:rsid w:val="00E2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Tiu2">
    <w:name w:val="Tiêu đề #2_"/>
    <w:basedOn w:val="DefaultParagraphFont"/>
    <w:link w:val="Tiu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Tiu3">
    <w:name w:val="Tiêu đề #3_"/>
    <w:basedOn w:val="DefaultParagraphFont"/>
    <w:link w:val="Tiu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78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Vnbnnidung30">
    <w:name w:val="Văn bản nội dung (3)"/>
    <w:basedOn w:val="Normal"/>
    <w:link w:val="Vnbnnidung3"/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Vnbnnidung20">
    <w:name w:val="Văn bản nội dung (2)"/>
    <w:basedOn w:val="Normal"/>
    <w:link w:val="Vnbnnidung2"/>
    <w:pPr>
      <w:ind w:firstLine="36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iu10">
    <w:name w:val="Tiêu đề #1"/>
    <w:basedOn w:val="Normal"/>
    <w:link w:val="Tiu1"/>
    <w:pPr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u20">
    <w:name w:val="Tiêu đề #2"/>
    <w:basedOn w:val="Normal"/>
    <w:link w:val="Tiu2"/>
    <w:pPr>
      <w:spacing w:line="377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iu30">
    <w:name w:val="Tiêu đề #3"/>
    <w:basedOn w:val="Normal"/>
    <w:link w:val="Tiu3"/>
    <w:pPr>
      <w:spacing w:line="264" w:lineRule="auto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Vnbnnidung40">
    <w:name w:val="Văn bản nội dung (4)"/>
    <w:basedOn w:val="Normal"/>
    <w:link w:val="Vnbnnidung4"/>
    <w:rPr>
      <w:rFonts w:ascii="Arial" w:eastAsia="Arial" w:hAnsi="Arial" w:cs="Arial"/>
      <w:sz w:val="18"/>
      <w:szCs w:val="18"/>
    </w:rPr>
  </w:style>
  <w:style w:type="paragraph" w:customStyle="1" w:styleId="Khc0">
    <w:name w:val="Khác"/>
    <w:basedOn w:val="Normal"/>
    <w:link w:val="Khc"/>
    <w:pPr>
      <w:spacing w:line="278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Tiu2">
    <w:name w:val="Tiêu đề #2_"/>
    <w:basedOn w:val="DefaultParagraphFont"/>
    <w:link w:val="Tiu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Tiu3">
    <w:name w:val="Tiêu đề #3_"/>
    <w:basedOn w:val="DefaultParagraphFont"/>
    <w:link w:val="Tiu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78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Vnbnnidung30">
    <w:name w:val="Văn bản nội dung (3)"/>
    <w:basedOn w:val="Normal"/>
    <w:link w:val="Vnbnnidung3"/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Vnbnnidung20">
    <w:name w:val="Văn bản nội dung (2)"/>
    <w:basedOn w:val="Normal"/>
    <w:link w:val="Vnbnnidung2"/>
    <w:pPr>
      <w:ind w:firstLine="36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iu10">
    <w:name w:val="Tiêu đề #1"/>
    <w:basedOn w:val="Normal"/>
    <w:link w:val="Tiu1"/>
    <w:pPr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u20">
    <w:name w:val="Tiêu đề #2"/>
    <w:basedOn w:val="Normal"/>
    <w:link w:val="Tiu2"/>
    <w:pPr>
      <w:spacing w:line="377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iu30">
    <w:name w:val="Tiêu đề #3"/>
    <w:basedOn w:val="Normal"/>
    <w:link w:val="Tiu3"/>
    <w:pPr>
      <w:spacing w:line="264" w:lineRule="auto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Vnbnnidung40">
    <w:name w:val="Văn bản nội dung (4)"/>
    <w:basedOn w:val="Normal"/>
    <w:link w:val="Vnbnnidung4"/>
    <w:rPr>
      <w:rFonts w:ascii="Arial" w:eastAsia="Arial" w:hAnsi="Arial" w:cs="Arial"/>
      <w:sz w:val="18"/>
      <w:szCs w:val="18"/>
    </w:rPr>
  </w:style>
  <w:style w:type="paragraph" w:customStyle="1" w:styleId="Khc0">
    <w:name w:val="Khác"/>
    <w:basedOn w:val="Normal"/>
    <w:link w:val="Khc"/>
    <w:pPr>
      <w:spacing w:line="278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Nt/X1EIM0W2iQ8MpNdqp7Kc8xw==">CgMxLjA4AHIhMVBIU0Z6cTZ0UEZIQzB2VkgxM0FTeERhNXJQcTFUWDZC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Tran Ha Anh</cp:lastModifiedBy>
  <cp:revision>8</cp:revision>
  <dcterms:created xsi:type="dcterms:W3CDTF">2024-07-31T03:53:00Z</dcterms:created>
  <dcterms:modified xsi:type="dcterms:W3CDTF">2024-08-02T03:31:00Z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c2f22f4c265c7c202eda1ad8d82eecb28bbe3ee644cef391348db347e0c9c748</vt:lpwstr>
  </property>
</Properties>
</file>