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E0" w:rsidRPr="00237BE5" w:rsidRDefault="00237BE5" w:rsidP="006D5EC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37BE5">
        <w:rPr>
          <w:rFonts w:ascii="Arial" w:hAnsi="Arial" w:cs="Arial"/>
          <w:b/>
          <w:bCs/>
          <w:color w:val="010000"/>
          <w:sz w:val="20"/>
        </w:rPr>
        <w:t>C4G:</w:t>
      </w:r>
      <w:r w:rsidRPr="00237BE5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5758E0" w:rsidRPr="00237BE5" w:rsidRDefault="00237BE5" w:rsidP="006D5EC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 xml:space="preserve">On December 29, 2023, CIENCO4 Group Joint Stock Company announced Resolution </w:t>
      </w:r>
      <w:r w:rsidR="005348C3" w:rsidRPr="00237BE5">
        <w:rPr>
          <w:rFonts w:ascii="Arial" w:hAnsi="Arial" w:cs="Arial"/>
          <w:color w:val="010000"/>
          <w:sz w:val="20"/>
        </w:rPr>
        <w:t xml:space="preserve">No. </w:t>
      </w:r>
      <w:r w:rsidRPr="00237BE5">
        <w:rPr>
          <w:rFonts w:ascii="Arial" w:hAnsi="Arial" w:cs="Arial"/>
          <w:color w:val="010000"/>
          <w:sz w:val="20"/>
        </w:rPr>
        <w:t>23/2023/NQ-HDQT on signing contracts and transactions with affiliated parties as follows:</w:t>
      </w:r>
    </w:p>
    <w:p w:rsidR="005758E0" w:rsidRPr="00237BE5" w:rsidRDefault="00237BE5" w:rsidP="006D5EC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>‎‎Article 1. Approve signing contracts and transactions between the Group and affiliated parties.</w:t>
      </w:r>
    </w:p>
    <w:p w:rsidR="005758E0" w:rsidRPr="00237BE5" w:rsidRDefault="00237BE5" w:rsidP="006D5EC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>1.1. Parties (Affiliated companies), including: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2"/>
        <w:gridCol w:w="5343"/>
        <w:gridCol w:w="3014"/>
      </w:tblGrid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5348C3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Company name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Relationship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GoBack" w:colFirst="2" w:colLast="2"/>
            <w:r w:rsidRPr="00237BE5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Cienco4 Land Investment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Subsidiary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Green Tea Islands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Subsidiary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Shanghai Investment Company Limited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Subsidiary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Education Equipment Join</w:t>
            </w:r>
            <w:r w:rsidR="005348C3" w:rsidRPr="00237BE5">
              <w:rPr>
                <w:rFonts w:ascii="Arial" w:hAnsi="Arial" w:cs="Arial"/>
                <w:color w:val="010000"/>
                <w:sz w:val="20"/>
              </w:rPr>
              <w:t>t</w:t>
            </w:r>
            <w:r w:rsidRPr="00237BE5">
              <w:rPr>
                <w:rFonts w:ascii="Arial" w:hAnsi="Arial" w:cs="Arial"/>
                <w:color w:val="010000"/>
                <w:sz w:val="20"/>
              </w:rPr>
              <w:t xml:space="preserve"> Stock Company 2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Subsidiary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Cienco4 Consultant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414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415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407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412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10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422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11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499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Cienco4 Japan Bridge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Affiliate Company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13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 xml:space="preserve">Yen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Lenh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Bridge Bot Company Limited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EE47DF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Joint venture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14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Công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ty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TNHH 2TV BOT QL1A CIENCO4 - TCT319 (tentatively translated as Cienco4 National Highway 1A Two-Member Bot Company Limited - TCT319)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Joint venture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15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Công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ty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TNHH BOT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Thái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Nguyên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-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Chợ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Mới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(tentatively translated as Thai Nguyen - Cho </w:t>
            </w: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Moi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BOT Company Limited)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Joint venture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16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Phuc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Thanh Hung Investment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Joint venture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17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Quang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Tri Airport Company Limited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Joint venture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18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New Link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Major shareholder</w:t>
            </w:r>
          </w:p>
        </w:tc>
      </w:tr>
      <w:tr w:rsidR="005758E0" w:rsidRPr="00237BE5" w:rsidTr="005348C3">
        <w:tc>
          <w:tcPr>
            <w:tcW w:w="3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EE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19</w:t>
            </w:r>
          </w:p>
        </w:tc>
        <w:tc>
          <w:tcPr>
            <w:tcW w:w="2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6D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237BE5">
              <w:rPr>
                <w:rFonts w:ascii="Arial" w:hAnsi="Arial" w:cs="Arial"/>
                <w:color w:val="010000"/>
                <w:sz w:val="20"/>
              </w:rPr>
              <w:t>Duy</w:t>
            </w:r>
            <w:proofErr w:type="spellEnd"/>
            <w:r w:rsidRPr="00237BE5">
              <w:rPr>
                <w:rFonts w:ascii="Arial" w:hAnsi="Arial" w:cs="Arial"/>
                <w:color w:val="010000"/>
                <w:sz w:val="20"/>
              </w:rPr>
              <w:t xml:space="preserve"> Tuan HP Construction Joint Stock Company</w:t>
            </w:r>
          </w:p>
        </w:tc>
        <w:tc>
          <w:tcPr>
            <w:tcW w:w="1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758E0" w:rsidRPr="00237BE5" w:rsidRDefault="00237BE5" w:rsidP="0089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37BE5">
              <w:rPr>
                <w:rFonts w:ascii="Arial" w:hAnsi="Arial" w:cs="Arial"/>
                <w:color w:val="010000"/>
                <w:sz w:val="20"/>
              </w:rPr>
              <w:t>Affiliated party of member of the Board of Directors</w:t>
            </w:r>
          </w:p>
        </w:tc>
      </w:tr>
    </w:tbl>
    <w:bookmarkEnd w:id="0"/>
    <w:p w:rsidR="005758E0" w:rsidRPr="00237BE5" w:rsidRDefault="00237BE5" w:rsidP="006D5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 xml:space="preserve">The content of contracts and transactions with the above companies includes: Contracts of construction and installation of traffic works; contracts of leasing/renting machinery, equipment, offices </w:t>
      </w:r>
      <w:r w:rsidRPr="00237BE5">
        <w:rPr>
          <w:rFonts w:ascii="Arial" w:hAnsi="Arial" w:cs="Arial"/>
          <w:color w:val="010000"/>
          <w:sz w:val="20"/>
        </w:rPr>
        <w:lastRenderedPageBreak/>
        <w:t xml:space="preserve">and other assets; </w:t>
      </w:r>
      <w:r w:rsidR="005348C3" w:rsidRPr="00237BE5">
        <w:rPr>
          <w:rFonts w:ascii="Arial" w:hAnsi="Arial" w:cs="Arial"/>
          <w:color w:val="010000"/>
          <w:sz w:val="20"/>
        </w:rPr>
        <w:t>labor lump-sum contracts</w:t>
      </w:r>
      <w:r w:rsidRPr="00237BE5">
        <w:rPr>
          <w:rFonts w:ascii="Arial" w:hAnsi="Arial" w:cs="Arial"/>
          <w:color w:val="010000"/>
          <w:sz w:val="20"/>
        </w:rPr>
        <w:t xml:space="preserve">; contracts of purchase/sale of fixed assets, machinery - equipment, supplies, fuel - raw materials </w:t>
      </w:r>
    </w:p>
    <w:p w:rsidR="005758E0" w:rsidRPr="00237BE5" w:rsidRDefault="00237BE5" w:rsidP="006D5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>Contract value: Not exceeding 35% of total asset value in the most recent quarterly Financial Statements.</w:t>
      </w:r>
    </w:p>
    <w:p w:rsidR="005758E0" w:rsidRPr="00237BE5" w:rsidRDefault="00237BE5" w:rsidP="006D5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>The General Manager of the Group is responsible for negotiating, selecting, deciding on unit prices and contract terms; signing the above contracts/transactions to ensure compliance with legal regulations, the Charter and other Regulations of the Group, ensuring the rights and interests of the Group.</w:t>
      </w:r>
    </w:p>
    <w:p w:rsidR="005758E0" w:rsidRPr="00237BE5" w:rsidRDefault="00237BE5" w:rsidP="006D5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1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 xml:space="preserve">Time of signing the above contracts/transactions: </w:t>
      </w:r>
      <w:r w:rsidR="005348C3" w:rsidRPr="00237BE5">
        <w:rPr>
          <w:rFonts w:ascii="Arial" w:hAnsi="Arial" w:cs="Arial"/>
          <w:color w:val="010000"/>
          <w:sz w:val="20"/>
        </w:rPr>
        <w:t>f</w:t>
      </w:r>
      <w:r w:rsidRPr="00237BE5">
        <w:rPr>
          <w:rFonts w:ascii="Arial" w:hAnsi="Arial" w:cs="Arial"/>
          <w:color w:val="010000"/>
          <w:sz w:val="20"/>
        </w:rPr>
        <w:t>rom January 01, 2024 to December 31, 2024.</w:t>
      </w:r>
    </w:p>
    <w:p w:rsidR="005758E0" w:rsidRPr="00237BE5" w:rsidRDefault="00237BE5" w:rsidP="006D5EC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0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:rsidR="005758E0" w:rsidRPr="00237BE5" w:rsidRDefault="00237BE5" w:rsidP="006D5EC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0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7BE5">
        <w:rPr>
          <w:rFonts w:ascii="Arial" w:hAnsi="Arial" w:cs="Arial"/>
          <w:color w:val="010000"/>
          <w:sz w:val="20"/>
        </w:rPr>
        <w:t xml:space="preserve">Members of the Board of Directors, the General Manager, the Deputy General Manager, </w:t>
      </w:r>
      <w:r w:rsidR="005348C3" w:rsidRPr="00237BE5">
        <w:rPr>
          <w:rFonts w:ascii="Arial" w:hAnsi="Arial" w:cs="Arial"/>
          <w:color w:val="010000"/>
          <w:sz w:val="20"/>
        </w:rPr>
        <w:t xml:space="preserve">the </w:t>
      </w:r>
      <w:r w:rsidRPr="00237BE5">
        <w:rPr>
          <w:rFonts w:ascii="Arial" w:hAnsi="Arial" w:cs="Arial"/>
          <w:color w:val="010000"/>
          <w:sz w:val="20"/>
        </w:rPr>
        <w:t>Chief Accountant,</w:t>
      </w:r>
      <w:r w:rsidR="005348C3" w:rsidRPr="00237BE5">
        <w:rPr>
          <w:rFonts w:ascii="Arial" w:hAnsi="Arial" w:cs="Arial"/>
          <w:color w:val="010000"/>
          <w:sz w:val="20"/>
        </w:rPr>
        <w:t xml:space="preserve"> the</w:t>
      </w:r>
      <w:r w:rsidRPr="00237BE5">
        <w:rPr>
          <w:rFonts w:ascii="Arial" w:hAnsi="Arial" w:cs="Arial"/>
          <w:color w:val="010000"/>
          <w:sz w:val="20"/>
        </w:rPr>
        <w:t xml:space="preserve"> Chief of Office, </w:t>
      </w:r>
      <w:r w:rsidR="005348C3" w:rsidRPr="00237BE5">
        <w:rPr>
          <w:rFonts w:ascii="Arial" w:hAnsi="Arial" w:cs="Arial"/>
          <w:color w:val="010000"/>
          <w:sz w:val="20"/>
        </w:rPr>
        <w:t>the Managers</w:t>
      </w:r>
      <w:r w:rsidRPr="00237BE5">
        <w:rPr>
          <w:rFonts w:ascii="Arial" w:hAnsi="Arial" w:cs="Arial"/>
          <w:color w:val="010000"/>
          <w:sz w:val="20"/>
        </w:rPr>
        <w:t xml:space="preserve"> of Departments under the Group and related organizations and individuals are responsible for implementing this Resolution./.</w:t>
      </w:r>
    </w:p>
    <w:sectPr w:rsidR="005758E0" w:rsidRPr="00237BE5" w:rsidSect="005348C3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D7842"/>
    <w:multiLevelType w:val="multilevel"/>
    <w:tmpl w:val="73B671AE"/>
    <w:lvl w:ilvl="0">
      <w:start w:val="2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D1C2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E0"/>
    <w:rsid w:val="00237BE5"/>
    <w:rsid w:val="00384A1B"/>
    <w:rsid w:val="004034E2"/>
    <w:rsid w:val="005348C3"/>
    <w:rsid w:val="005758E0"/>
    <w:rsid w:val="006D5ECF"/>
    <w:rsid w:val="0089079D"/>
    <w:rsid w:val="00E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B7E35D-DA91-486D-8F86-D51C9736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2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2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2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2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  <w:ind w:firstLine="400"/>
    </w:pPr>
    <w:rPr>
      <w:rFonts w:ascii="Times New Roman" w:eastAsia="Times New Roman" w:hAnsi="Times New Roman" w:cs="Times New Roman"/>
      <w:color w:val="1D1C20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color w:val="1D1C20"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color w:val="1D1C20"/>
      <w:sz w:val="26"/>
      <w:szCs w:val="26"/>
    </w:rPr>
  </w:style>
  <w:style w:type="paragraph" w:customStyle="1" w:styleId="Other0">
    <w:name w:val="Other"/>
    <w:basedOn w:val="Normal"/>
    <w:link w:val="Other"/>
    <w:pPr>
      <w:spacing w:line="283" w:lineRule="auto"/>
      <w:ind w:firstLine="400"/>
    </w:pPr>
    <w:rPr>
      <w:rFonts w:ascii="Times New Roman" w:eastAsia="Times New Roman" w:hAnsi="Times New Roman" w:cs="Times New Roman"/>
      <w:color w:val="1D1C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E6F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e8cCneQ0t20wlryHr8MY3zURg==">CgMxLjA4AHIhMV8tUF9IRy0xQTVGS01BZW9mck9iUVhkQlRnNUlMUnRM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2358</Characters>
  <Application>Microsoft Office Word</Application>
  <DocSecurity>0</DocSecurity>
  <Lines>87</Lines>
  <Paragraphs>81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8</cp:revision>
  <dcterms:created xsi:type="dcterms:W3CDTF">2024-08-19T03:49:00Z</dcterms:created>
  <dcterms:modified xsi:type="dcterms:W3CDTF">2024-08-20T07:19:00Z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13d1ea4cf8815d36156687a09d6bfd4627ef0b5fb9e3a8a83e8fa8bf4d39c191</vt:lpwstr>
  </property>
</Properties>
</file>