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2879E1">
        <w:rPr>
          <w:rFonts w:ascii="Arial" w:hAnsi="Arial" w:cs="Arial"/>
          <w:b/>
          <w:bCs/>
          <w:color w:val="010000"/>
          <w:sz w:val="20"/>
        </w:rPr>
        <w:t>HDB124006:</w:t>
      </w:r>
      <w:r w:rsidRPr="002879E1">
        <w:rPr>
          <w:rFonts w:ascii="Arial" w:hAnsi="Arial" w:cs="Arial"/>
          <w:b/>
          <w:color w:val="010000"/>
          <w:sz w:val="20"/>
        </w:rPr>
        <w:t xml:space="preserve"> Report on the results of the public offering of bonds in 2023</w:t>
      </w:r>
    </w:p>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 xml:space="preserve">On August 09, 2024, Ho Chi Minh City Development Joint Stock Commercial Bank announced Report </w:t>
      </w:r>
      <w:r w:rsidR="000B6B97" w:rsidRPr="002879E1">
        <w:rPr>
          <w:rFonts w:ascii="Arial" w:hAnsi="Arial" w:cs="Arial"/>
          <w:color w:val="010000"/>
          <w:sz w:val="20"/>
        </w:rPr>
        <w:t xml:space="preserve">No. </w:t>
      </w:r>
      <w:r w:rsidRPr="002879E1">
        <w:rPr>
          <w:rFonts w:ascii="Arial" w:hAnsi="Arial" w:cs="Arial"/>
          <w:color w:val="010000"/>
          <w:sz w:val="20"/>
        </w:rPr>
        <w:t>1342/2024/CV-HDBank as follows:</w:t>
      </w:r>
    </w:p>
    <w:p w:rsidR="002F35A8" w:rsidRPr="002879E1" w:rsidRDefault="000B6B97" w:rsidP="00FF5784">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2879E1">
        <w:rPr>
          <w:rFonts w:ascii="Arial" w:hAnsi="Arial" w:cs="Arial"/>
          <w:color w:val="010000"/>
          <w:sz w:val="20"/>
        </w:rPr>
        <w:t>I. Offering plan for Round 2</w:t>
      </w:r>
    </w:p>
    <w:p w:rsidR="002F35A8" w:rsidRPr="002879E1" w:rsidRDefault="002879E1" w:rsidP="00FF5784">
      <w:pPr>
        <w:numPr>
          <w:ilvl w:val="0"/>
          <w:numId w:val="9"/>
        </w:numPr>
        <w:pBdr>
          <w:top w:val="nil"/>
          <w:left w:val="nil"/>
          <w:bottom w:val="nil"/>
          <w:right w:val="nil"/>
          <w:between w:val="nil"/>
        </w:pBdr>
        <w:tabs>
          <w:tab w:val="left" w:pos="344"/>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Bond</w:t>
      </w:r>
      <w:r w:rsidR="000B6B97" w:rsidRPr="002879E1">
        <w:rPr>
          <w:rFonts w:ascii="Arial" w:hAnsi="Arial" w:cs="Arial"/>
          <w:color w:val="010000"/>
          <w:sz w:val="20"/>
        </w:rPr>
        <w:t>s</w:t>
      </w:r>
      <w:r w:rsidRPr="002879E1">
        <w:rPr>
          <w:rFonts w:ascii="Arial" w:hAnsi="Arial" w:cs="Arial"/>
          <w:color w:val="010000"/>
          <w:sz w:val="20"/>
        </w:rPr>
        <w:t xml:space="preserve"> name: Bonds of Ho Chi Minh City Development Joint Stock Commercial Bank of the public offering 2023.</w:t>
      </w:r>
    </w:p>
    <w:p w:rsidR="002F35A8" w:rsidRPr="002879E1" w:rsidRDefault="002879E1" w:rsidP="00FF5784">
      <w:pPr>
        <w:numPr>
          <w:ilvl w:val="0"/>
          <w:numId w:val="9"/>
        </w:numPr>
        <w:pBdr>
          <w:top w:val="nil"/>
          <w:left w:val="nil"/>
          <w:bottom w:val="nil"/>
          <w:right w:val="nil"/>
          <w:between w:val="nil"/>
        </w:pBdr>
        <w:tabs>
          <w:tab w:val="left" w:pos="36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Bond</w:t>
      </w:r>
      <w:r w:rsidR="000B6B97" w:rsidRPr="002879E1">
        <w:rPr>
          <w:rFonts w:ascii="Arial" w:hAnsi="Arial" w:cs="Arial"/>
          <w:color w:val="010000"/>
          <w:sz w:val="20"/>
        </w:rPr>
        <w:t>s</w:t>
      </w:r>
      <w:r w:rsidRPr="002879E1">
        <w:rPr>
          <w:rFonts w:ascii="Arial" w:hAnsi="Arial" w:cs="Arial"/>
          <w:color w:val="010000"/>
          <w:sz w:val="20"/>
        </w:rPr>
        <w:t xml:space="preserve"> type: Non-convertible bonds, unsecured, unwarranted, are subordinated debts, satisfy the conditions to be included in the Tier 2 capital of the Issuer.</w:t>
      </w:r>
    </w:p>
    <w:p w:rsidR="002F35A8" w:rsidRPr="002879E1" w:rsidRDefault="002879E1" w:rsidP="00FF5784">
      <w:pPr>
        <w:numPr>
          <w:ilvl w:val="0"/>
          <w:numId w:val="9"/>
        </w:numPr>
        <w:pBdr>
          <w:top w:val="nil"/>
          <w:left w:val="nil"/>
          <w:bottom w:val="nil"/>
          <w:right w:val="nil"/>
          <w:between w:val="nil"/>
        </w:pBdr>
        <w:tabs>
          <w:tab w:val="left" w:pos="36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Bond</w:t>
      </w:r>
      <w:r w:rsidR="000B6B97" w:rsidRPr="002879E1">
        <w:rPr>
          <w:rFonts w:ascii="Arial" w:hAnsi="Arial" w:cs="Arial"/>
          <w:color w:val="010000"/>
          <w:sz w:val="20"/>
        </w:rPr>
        <w:t>s</w:t>
      </w:r>
      <w:r w:rsidRPr="002879E1">
        <w:rPr>
          <w:rFonts w:ascii="Arial" w:hAnsi="Arial" w:cs="Arial"/>
          <w:color w:val="010000"/>
          <w:sz w:val="20"/>
        </w:rPr>
        <w:t xml:space="preserve"> code: HDBC7Y202302</w:t>
      </w:r>
    </w:p>
    <w:p w:rsidR="002F35A8" w:rsidRPr="002879E1" w:rsidRDefault="002879E1" w:rsidP="00FF5784">
      <w:pPr>
        <w:numPr>
          <w:ilvl w:val="0"/>
          <w:numId w:val="9"/>
        </w:numPr>
        <w:pBdr>
          <w:top w:val="nil"/>
          <w:left w:val="nil"/>
          <w:bottom w:val="nil"/>
          <w:right w:val="nil"/>
          <w:between w:val="nil"/>
        </w:pBdr>
        <w:tabs>
          <w:tab w:val="left" w:pos="35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Bond</w:t>
      </w:r>
      <w:r w:rsidR="000B6B97" w:rsidRPr="002879E1">
        <w:rPr>
          <w:rFonts w:ascii="Arial" w:hAnsi="Arial" w:cs="Arial"/>
          <w:color w:val="010000"/>
          <w:sz w:val="20"/>
        </w:rPr>
        <w:t>s</w:t>
      </w:r>
      <w:r w:rsidRPr="002879E1">
        <w:rPr>
          <w:rFonts w:ascii="Arial" w:hAnsi="Arial" w:cs="Arial"/>
          <w:color w:val="010000"/>
          <w:sz w:val="20"/>
        </w:rPr>
        <w:t xml:space="preserve"> par value: VND100,000/bond</w:t>
      </w:r>
    </w:p>
    <w:p w:rsidR="002F35A8" w:rsidRPr="002879E1" w:rsidRDefault="002879E1" w:rsidP="00FF5784">
      <w:pPr>
        <w:numPr>
          <w:ilvl w:val="0"/>
          <w:numId w:val="9"/>
        </w:numPr>
        <w:pBdr>
          <w:top w:val="nil"/>
          <w:left w:val="nil"/>
          <w:bottom w:val="nil"/>
          <w:right w:val="nil"/>
          <w:between w:val="nil"/>
        </w:pBdr>
        <w:tabs>
          <w:tab w:val="left" w:pos="35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Total number of bonds offered: 10,000,000 bonds</w:t>
      </w:r>
    </w:p>
    <w:p w:rsidR="002F35A8" w:rsidRPr="002879E1" w:rsidRDefault="002879E1" w:rsidP="00FF5784">
      <w:pPr>
        <w:numPr>
          <w:ilvl w:val="0"/>
          <w:numId w:val="9"/>
        </w:numPr>
        <w:pBdr>
          <w:top w:val="nil"/>
          <w:left w:val="nil"/>
          <w:bottom w:val="nil"/>
          <w:right w:val="nil"/>
          <w:between w:val="nil"/>
        </w:pBdr>
        <w:tabs>
          <w:tab w:val="left" w:pos="35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Total value of offered bonds at par value: VND1,000,000,000,000</w:t>
      </w:r>
    </w:p>
    <w:p w:rsidR="002F35A8" w:rsidRPr="002879E1" w:rsidRDefault="002879E1" w:rsidP="00FF5784">
      <w:pPr>
        <w:numPr>
          <w:ilvl w:val="0"/>
          <w:numId w:val="9"/>
        </w:numPr>
        <w:pBdr>
          <w:top w:val="nil"/>
          <w:left w:val="nil"/>
          <w:bottom w:val="nil"/>
          <w:right w:val="nil"/>
          <w:between w:val="nil"/>
        </w:pBdr>
        <w:tabs>
          <w:tab w:val="left" w:pos="354"/>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Bond</w:t>
      </w:r>
      <w:r w:rsidR="000B6B97" w:rsidRPr="002879E1">
        <w:rPr>
          <w:rFonts w:ascii="Arial" w:hAnsi="Arial" w:cs="Arial"/>
          <w:color w:val="010000"/>
          <w:sz w:val="20"/>
        </w:rPr>
        <w:t>s</w:t>
      </w:r>
      <w:r w:rsidRPr="002879E1">
        <w:rPr>
          <w:rFonts w:ascii="Arial" w:hAnsi="Arial" w:cs="Arial"/>
          <w:color w:val="010000"/>
          <w:sz w:val="20"/>
        </w:rPr>
        <w:t xml:space="preserve"> term: 07 years</w:t>
      </w:r>
    </w:p>
    <w:p w:rsidR="002F35A8" w:rsidRPr="002879E1" w:rsidRDefault="002879E1" w:rsidP="00FF5784">
      <w:pPr>
        <w:numPr>
          <w:ilvl w:val="0"/>
          <w:numId w:val="9"/>
        </w:numPr>
        <w:pBdr>
          <w:top w:val="nil"/>
          <w:left w:val="nil"/>
          <w:bottom w:val="nil"/>
          <w:right w:val="nil"/>
          <w:between w:val="nil"/>
        </w:pBdr>
        <w:tabs>
          <w:tab w:val="left" w:pos="363"/>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Interest rate: Bonds with floating interest rates, applied to the entire term of the bond according to the following formula:</w:t>
      </w:r>
    </w:p>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Interest rate = Reference Inter</w:t>
      </w:r>
      <w:r w:rsidR="000B6B97" w:rsidRPr="002879E1">
        <w:rPr>
          <w:rFonts w:ascii="Arial" w:hAnsi="Arial" w:cs="Arial"/>
          <w:color w:val="010000"/>
          <w:sz w:val="20"/>
        </w:rPr>
        <w:t>e</w:t>
      </w:r>
      <w:r w:rsidRPr="002879E1">
        <w:rPr>
          <w:rFonts w:ascii="Arial" w:hAnsi="Arial" w:cs="Arial"/>
          <w:color w:val="010000"/>
          <w:sz w:val="20"/>
        </w:rPr>
        <w:t>st Rate + Interest margin of 2.8%/year</w:t>
      </w:r>
    </w:p>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 xml:space="preserve">In which: Reference Interest Rate for each Interest Calculation Period means the average interest rate of individual savings deposits in VND, term of 12 months, interest paid at the end of the period, announced on the official electronic information page (website) of Reference Banks on the </w:t>
      </w:r>
      <w:r w:rsidR="000B6B97" w:rsidRPr="002879E1">
        <w:rPr>
          <w:rFonts w:ascii="Arial" w:hAnsi="Arial" w:cs="Arial"/>
          <w:color w:val="010000"/>
          <w:sz w:val="20"/>
        </w:rPr>
        <w:t>Interest Rate Determination Date</w:t>
      </w:r>
      <w:r w:rsidRPr="002879E1">
        <w:rPr>
          <w:rFonts w:ascii="Arial" w:hAnsi="Arial" w:cs="Arial"/>
          <w:color w:val="010000"/>
          <w:sz w:val="20"/>
        </w:rPr>
        <w:t xml:space="preserve">. For clarification, in case the website shows multiple locations/areas, priority is given to the interest rate at the location where the Reference Banks place their </w:t>
      </w:r>
      <w:r w:rsidR="000B6B97" w:rsidRPr="002879E1">
        <w:rPr>
          <w:rFonts w:ascii="Arial" w:hAnsi="Arial" w:cs="Arial"/>
          <w:color w:val="010000"/>
          <w:sz w:val="20"/>
        </w:rPr>
        <w:t>H</w:t>
      </w:r>
      <w:r w:rsidRPr="002879E1">
        <w:rPr>
          <w:rFonts w:ascii="Arial" w:hAnsi="Arial" w:cs="Arial"/>
          <w:color w:val="010000"/>
          <w:sz w:val="20"/>
        </w:rPr>
        <w:t>ead offices.</w:t>
      </w:r>
    </w:p>
    <w:p w:rsidR="000B6B97" w:rsidRPr="002879E1" w:rsidRDefault="002879E1" w:rsidP="00FF5784">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2879E1">
        <w:rPr>
          <w:rFonts w:ascii="Arial" w:hAnsi="Arial" w:cs="Arial"/>
          <w:color w:val="010000"/>
          <w:sz w:val="20"/>
        </w:rPr>
        <w:t xml:space="preserve">Reference Banks include Joint Stock Commercial for Investment and Development of Vietnam, Joint Stock Commercial Bank for Foreign Trade of Vietnam, Vietnam Joint Stock Commercial Bank for Industry and Trade, and Vietnam Bank for Agriculture and Rural Development. </w:t>
      </w:r>
    </w:p>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 xml:space="preserve">The Interest Rate Determination Date for the first Interest Calculation Period is the starting date for receiving application for purchasing </w:t>
      </w:r>
      <w:r w:rsidR="000B6B97" w:rsidRPr="002879E1">
        <w:rPr>
          <w:rFonts w:ascii="Arial" w:hAnsi="Arial" w:cs="Arial"/>
          <w:color w:val="010000"/>
          <w:sz w:val="20"/>
        </w:rPr>
        <w:t>b</w:t>
      </w:r>
      <w:r w:rsidRPr="002879E1">
        <w:rPr>
          <w:rFonts w:ascii="Arial" w:hAnsi="Arial" w:cs="Arial"/>
          <w:color w:val="010000"/>
          <w:sz w:val="20"/>
        </w:rPr>
        <w:t xml:space="preserve">onds of each Round. The Interest Rate Determination Date for the next </w:t>
      </w:r>
      <w:r w:rsidR="000B6B97" w:rsidRPr="002879E1">
        <w:rPr>
          <w:rFonts w:ascii="Arial" w:hAnsi="Arial" w:cs="Arial"/>
          <w:color w:val="010000"/>
          <w:sz w:val="20"/>
        </w:rPr>
        <w:t xml:space="preserve">Interest Calculation Period </w:t>
      </w:r>
      <w:r w:rsidRPr="002879E1">
        <w:rPr>
          <w:rFonts w:ascii="Arial" w:hAnsi="Arial" w:cs="Arial"/>
          <w:color w:val="010000"/>
          <w:sz w:val="20"/>
        </w:rPr>
        <w:t xml:space="preserve">is the 7th working day before the first date of each </w:t>
      </w:r>
      <w:r w:rsidR="000B6B97" w:rsidRPr="002879E1">
        <w:rPr>
          <w:rFonts w:ascii="Arial" w:hAnsi="Arial" w:cs="Arial"/>
          <w:color w:val="010000"/>
          <w:sz w:val="20"/>
        </w:rPr>
        <w:t>Interest Calculation Period</w:t>
      </w:r>
      <w:r w:rsidRPr="002879E1">
        <w:rPr>
          <w:rFonts w:ascii="Arial" w:hAnsi="Arial" w:cs="Arial"/>
          <w:color w:val="010000"/>
          <w:sz w:val="20"/>
        </w:rPr>
        <w:t>.</w:t>
      </w:r>
    </w:p>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 xml:space="preserve">Accordingly, for the first interest calculation period (from August 7, 2024 until but not including August 7, 2025), the interest rate of HDBC7Y202302 </w:t>
      </w:r>
      <w:r w:rsidR="000B6B97" w:rsidRPr="002879E1">
        <w:rPr>
          <w:rFonts w:ascii="Arial" w:hAnsi="Arial" w:cs="Arial"/>
          <w:color w:val="010000"/>
          <w:sz w:val="20"/>
        </w:rPr>
        <w:t>b</w:t>
      </w:r>
      <w:r w:rsidRPr="002879E1">
        <w:rPr>
          <w:rFonts w:ascii="Arial" w:hAnsi="Arial" w:cs="Arial"/>
          <w:color w:val="010000"/>
          <w:sz w:val="20"/>
        </w:rPr>
        <w:t>ond</w:t>
      </w:r>
      <w:r w:rsidR="000B6B97" w:rsidRPr="002879E1">
        <w:rPr>
          <w:rFonts w:ascii="Arial" w:hAnsi="Arial" w:cs="Arial"/>
          <w:color w:val="010000"/>
          <w:sz w:val="20"/>
        </w:rPr>
        <w:t>s</w:t>
      </w:r>
      <w:r w:rsidRPr="002879E1">
        <w:rPr>
          <w:rFonts w:ascii="Arial" w:hAnsi="Arial" w:cs="Arial"/>
          <w:color w:val="010000"/>
          <w:sz w:val="20"/>
        </w:rPr>
        <w:t xml:space="preserve"> is 7.475%/year.</w:t>
      </w:r>
    </w:p>
    <w:p w:rsidR="002F35A8" w:rsidRPr="002879E1" w:rsidRDefault="002879E1" w:rsidP="00FF5784">
      <w:pPr>
        <w:numPr>
          <w:ilvl w:val="0"/>
          <w:numId w:val="9"/>
        </w:numPr>
        <w:pBdr>
          <w:top w:val="nil"/>
          <w:left w:val="nil"/>
          <w:bottom w:val="nil"/>
          <w:right w:val="nil"/>
          <w:between w:val="nil"/>
        </w:pBdr>
        <w:tabs>
          <w:tab w:val="left" w:pos="36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Interest payment term: Interest is paid annually, periodically exactly 01 year from the Issuance date.</w:t>
      </w:r>
    </w:p>
    <w:p w:rsidR="002F35A8" w:rsidRPr="002879E1" w:rsidRDefault="002879E1" w:rsidP="00FF5784">
      <w:pPr>
        <w:numPr>
          <w:ilvl w:val="0"/>
          <w:numId w:val="9"/>
        </w:numPr>
        <w:pBdr>
          <w:top w:val="nil"/>
          <w:left w:val="nil"/>
          <w:bottom w:val="nil"/>
          <w:right w:val="nil"/>
          <w:between w:val="nil"/>
        </w:pBdr>
        <w:tabs>
          <w:tab w:val="left" w:pos="432"/>
          <w:tab w:val="left" w:pos="464"/>
        </w:tabs>
        <w:spacing w:after="120" w:line="360" w:lineRule="auto"/>
        <w:jc w:val="both"/>
        <w:rPr>
          <w:rFonts w:ascii="Arial" w:eastAsia="Arial" w:hAnsi="Arial" w:cs="Arial"/>
          <w:color w:val="010000"/>
          <w:sz w:val="20"/>
          <w:szCs w:val="20"/>
        </w:rPr>
      </w:pPr>
      <w:r w:rsidRPr="002879E1">
        <w:rPr>
          <w:rFonts w:ascii="Arial" w:hAnsi="Arial" w:cs="Arial"/>
          <w:color w:val="010000"/>
          <w:sz w:val="20"/>
        </w:rPr>
        <w:t>Offering price: VND100,000/</w:t>
      </w:r>
      <w:r w:rsidR="000B6B97" w:rsidRPr="002879E1">
        <w:rPr>
          <w:rFonts w:ascii="Arial" w:hAnsi="Arial" w:cs="Arial"/>
          <w:color w:val="010000"/>
          <w:sz w:val="20"/>
        </w:rPr>
        <w:t>b</w:t>
      </w:r>
      <w:r w:rsidRPr="002879E1">
        <w:rPr>
          <w:rFonts w:ascii="Arial" w:hAnsi="Arial" w:cs="Arial"/>
          <w:color w:val="010000"/>
          <w:sz w:val="20"/>
        </w:rPr>
        <w:t>ond</w:t>
      </w:r>
    </w:p>
    <w:p w:rsidR="002F35A8" w:rsidRPr="002879E1" w:rsidRDefault="002879E1" w:rsidP="00FF5784">
      <w:pPr>
        <w:numPr>
          <w:ilvl w:val="0"/>
          <w:numId w:val="9"/>
        </w:numPr>
        <w:pBdr>
          <w:top w:val="nil"/>
          <w:left w:val="nil"/>
          <w:bottom w:val="nil"/>
          <w:right w:val="nil"/>
          <w:between w:val="nil"/>
        </w:pBdr>
        <w:tabs>
          <w:tab w:val="left" w:pos="432"/>
          <w:tab w:val="left" w:pos="483"/>
        </w:tabs>
        <w:spacing w:after="120" w:line="360" w:lineRule="auto"/>
        <w:jc w:val="both"/>
        <w:rPr>
          <w:rFonts w:ascii="Arial" w:eastAsia="Arial" w:hAnsi="Arial" w:cs="Arial"/>
          <w:color w:val="010000"/>
          <w:sz w:val="20"/>
          <w:szCs w:val="20"/>
        </w:rPr>
      </w:pPr>
      <w:r w:rsidRPr="002879E1">
        <w:rPr>
          <w:rFonts w:ascii="Arial" w:hAnsi="Arial" w:cs="Arial"/>
          <w:color w:val="010000"/>
          <w:sz w:val="20"/>
        </w:rPr>
        <w:t>Distribution method: Sold directly to Investors at the Head Office/Branch/Transaction Office of the Issuer and distributed through the Issuing Agency, Sai Gon - Hanoi Securities Joint Stock Company.</w:t>
      </w:r>
    </w:p>
    <w:p w:rsidR="002F35A8" w:rsidRPr="002879E1" w:rsidRDefault="002879E1" w:rsidP="00FF5784">
      <w:pPr>
        <w:numPr>
          <w:ilvl w:val="0"/>
          <w:numId w:val="9"/>
        </w:numPr>
        <w:pBdr>
          <w:top w:val="nil"/>
          <w:left w:val="nil"/>
          <w:bottom w:val="nil"/>
          <w:right w:val="nil"/>
          <w:between w:val="nil"/>
        </w:pBdr>
        <w:tabs>
          <w:tab w:val="left" w:pos="432"/>
          <w:tab w:val="left" w:pos="464"/>
        </w:tabs>
        <w:spacing w:after="120" w:line="360" w:lineRule="auto"/>
        <w:jc w:val="both"/>
        <w:rPr>
          <w:rFonts w:ascii="Arial" w:eastAsia="Arial" w:hAnsi="Arial" w:cs="Arial"/>
          <w:color w:val="010000"/>
          <w:sz w:val="20"/>
          <w:szCs w:val="20"/>
        </w:rPr>
      </w:pPr>
      <w:r w:rsidRPr="002879E1">
        <w:rPr>
          <w:rFonts w:ascii="Arial" w:hAnsi="Arial" w:cs="Arial"/>
          <w:color w:val="010000"/>
          <w:sz w:val="20"/>
        </w:rPr>
        <w:lastRenderedPageBreak/>
        <w:t>Time for receiving registration to buy and deposit money: From July 17, 2024 to August 07, 2024.</w:t>
      </w:r>
    </w:p>
    <w:p w:rsidR="002F35A8" w:rsidRPr="002879E1" w:rsidRDefault="002879E1" w:rsidP="00FF5784">
      <w:pPr>
        <w:keepNext/>
        <w:numPr>
          <w:ilvl w:val="0"/>
          <w:numId w:val="9"/>
        </w:numPr>
        <w:pBdr>
          <w:top w:val="nil"/>
          <w:left w:val="nil"/>
          <w:bottom w:val="nil"/>
          <w:right w:val="nil"/>
          <w:between w:val="nil"/>
        </w:pBdr>
        <w:tabs>
          <w:tab w:val="left" w:pos="432"/>
          <w:tab w:val="left" w:pos="474"/>
        </w:tabs>
        <w:spacing w:after="120" w:line="360" w:lineRule="auto"/>
        <w:jc w:val="both"/>
        <w:rPr>
          <w:rFonts w:ascii="Arial" w:eastAsia="Arial" w:hAnsi="Arial" w:cs="Arial"/>
          <w:color w:val="010000"/>
          <w:sz w:val="20"/>
          <w:szCs w:val="20"/>
        </w:rPr>
      </w:pPr>
      <w:r w:rsidRPr="002879E1">
        <w:rPr>
          <w:rFonts w:ascii="Arial" w:hAnsi="Arial" w:cs="Arial"/>
          <w:color w:val="010000"/>
          <w:sz w:val="20"/>
        </w:rPr>
        <w:t>Completion date of the offering: August 07, 2024</w:t>
      </w:r>
    </w:p>
    <w:p w:rsidR="002F35A8" w:rsidRPr="002879E1" w:rsidRDefault="002879E1" w:rsidP="00FF5784">
      <w:pPr>
        <w:numPr>
          <w:ilvl w:val="0"/>
          <w:numId w:val="9"/>
        </w:numPr>
        <w:pBdr>
          <w:top w:val="nil"/>
          <w:left w:val="nil"/>
          <w:bottom w:val="nil"/>
          <w:right w:val="nil"/>
          <w:between w:val="nil"/>
        </w:pBdr>
        <w:tabs>
          <w:tab w:val="left" w:pos="432"/>
          <w:tab w:val="left" w:pos="502"/>
        </w:tabs>
        <w:spacing w:after="120" w:line="360" w:lineRule="auto"/>
        <w:jc w:val="both"/>
        <w:rPr>
          <w:rFonts w:ascii="Arial" w:eastAsia="Arial" w:hAnsi="Arial" w:cs="Arial"/>
          <w:color w:val="010000"/>
          <w:sz w:val="20"/>
          <w:szCs w:val="20"/>
        </w:rPr>
      </w:pPr>
      <w:r w:rsidRPr="002879E1">
        <w:rPr>
          <w:rFonts w:ascii="Arial" w:hAnsi="Arial" w:cs="Arial"/>
          <w:color w:val="010000"/>
          <w:sz w:val="20"/>
        </w:rPr>
        <w:t>Expected date to transfer bonds: Within 30 days from the completion date of the offering, the Investor will receive the original Bond Ownership Certificate and/or the original extract of the registration book (if requested by the bondholder), except in the case where the Investor has authorized the Issuer to carry out procedures for centralized deposit.</w:t>
      </w:r>
    </w:p>
    <w:p w:rsidR="002F35A8" w:rsidRPr="002879E1" w:rsidRDefault="002879E1" w:rsidP="00FF5784">
      <w:pPr>
        <w:numPr>
          <w:ilvl w:val="0"/>
          <w:numId w:val="8"/>
        </w:numPr>
        <w:pBdr>
          <w:top w:val="nil"/>
          <w:left w:val="nil"/>
          <w:bottom w:val="nil"/>
          <w:right w:val="nil"/>
          <w:between w:val="nil"/>
        </w:pBdr>
        <w:tabs>
          <w:tab w:val="left" w:pos="432"/>
          <w:tab w:val="left" w:pos="531"/>
        </w:tabs>
        <w:spacing w:after="120" w:line="360" w:lineRule="auto"/>
        <w:jc w:val="both"/>
        <w:rPr>
          <w:rFonts w:ascii="Arial" w:eastAsia="Arial" w:hAnsi="Arial" w:cs="Arial"/>
          <w:color w:val="010000"/>
          <w:sz w:val="20"/>
          <w:szCs w:val="20"/>
        </w:rPr>
      </w:pPr>
      <w:r w:rsidRPr="002879E1">
        <w:rPr>
          <w:rFonts w:ascii="Arial" w:hAnsi="Arial" w:cs="Arial"/>
          <w:color w:val="010000"/>
          <w:sz w:val="20"/>
        </w:rPr>
        <w:t>Results of the offering</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7"/>
        <w:gridCol w:w="932"/>
        <w:gridCol w:w="885"/>
        <w:gridCol w:w="885"/>
        <w:gridCol w:w="885"/>
        <w:gridCol w:w="827"/>
        <w:gridCol w:w="817"/>
        <w:gridCol w:w="817"/>
        <w:gridCol w:w="885"/>
        <w:gridCol w:w="817"/>
      </w:tblGrid>
      <w:tr w:rsidR="002F35A8" w:rsidRPr="002879E1" w:rsidTr="000B6B97">
        <w:tc>
          <w:tcPr>
            <w:tcW w:w="84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Eligible buyer</w:t>
            </w:r>
          </w:p>
        </w:tc>
        <w:tc>
          <w:tcPr>
            <w:tcW w:w="480"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Offering price (VND/bond)</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Number of offered bonds</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Number of bonds registered to buy</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Number of distributed bonds</w:t>
            </w:r>
          </w:p>
        </w:tc>
        <w:tc>
          <w:tcPr>
            <w:tcW w:w="301"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Numbers of investors registering to purchase</w:t>
            </w:r>
          </w:p>
        </w:tc>
        <w:tc>
          <w:tcPr>
            <w:tcW w:w="32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Number of eligible investors to be distributed</w:t>
            </w:r>
          </w:p>
        </w:tc>
        <w:tc>
          <w:tcPr>
            <w:tcW w:w="33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Number of ineligible investors to be distributed</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Number of remaining bonds</w:t>
            </w:r>
          </w:p>
        </w:tc>
        <w:tc>
          <w:tcPr>
            <w:tcW w:w="449"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Rate of distributed bonds</w:t>
            </w:r>
          </w:p>
        </w:tc>
      </w:tr>
      <w:tr w:rsidR="002F35A8" w:rsidRPr="002879E1" w:rsidTr="000B6B97">
        <w:tc>
          <w:tcPr>
            <w:tcW w:w="84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w:t>
            </w:r>
          </w:p>
        </w:tc>
        <w:tc>
          <w:tcPr>
            <w:tcW w:w="480"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2</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3</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4</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w:t>
            </w:r>
          </w:p>
        </w:tc>
        <w:tc>
          <w:tcPr>
            <w:tcW w:w="301"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6</w:t>
            </w:r>
          </w:p>
        </w:tc>
        <w:tc>
          <w:tcPr>
            <w:tcW w:w="32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7</w:t>
            </w:r>
          </w:p>
        </w:tc>
        <w:tc>
          <w:tcPr>
            <w:tcW w:w="33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8=6-7</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9=3-5</w:t>
            </w:r>
          </w:p>
        </w:tc>
        <w:tc>
          <w:tcPr>
            <w:tcW w:w="449"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10=5/3</w:t>
            </w:r>
          </w:p>
        </w:tc>
      </w:tr>
      <w:tr w:rsidR="002F35A8" w:rsidRPr="002879E1" w:rsidTr="000B6B97">
        <w:tc>
          <w:tcPr>
            <w:tcW w:w="845" w:type="pct"/>
            <w:shd w:val="clear" w:color="auto" w:fill="auto"/>
            <w:vAlign w:val="center"/>
          </w:tcPr>
          <w:p w:rsidR="002F35A8" w:rsidRPr="002879E1" w:rsidRDefault="002879E1" w:rsidP="00FF5784">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Individual investors, in which:</w:t>
            </w:r>
          </w:p>
        </w:tc>
        <w:tc>
          <w:tcPr>
            <w:tcW w:w="480"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566"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566"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566"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301"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325"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335"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566"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449"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r>
      <w:tr w:rsidR="002F35A8" w:rsidRPr="002879E1" w:rsidTr="000B6B97">
        <w:tc>
          <w:tcPr>
            <w:tcW w:w="845" w:type="pct"/>
            <w:shd w:val="clear" w:color="auto" w:fill="auto"/>
            <w:vAlign w:val="center"/>
          </w:tcPr>
          <w:p w:rsidR="002F35A8" w:rsidRPr="002879E1" w:rsidRDefault="002879E1" w:rsidP="00FF5784">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Domestic investors</w:t>
            </w:r>
          </w:p>
        </w:tc>
        <w:tc>
          <w:tcPr>
            <w:tcW w:w="480"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561,250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519,583</w:t>
            </w:r>
          </w:p>
        </w:tc>
        <w:tc>
          <w:tcPr>
            <w:tcW w:w="301"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58</w:t>
            </w:r>
          </w:p>
        </w:tc>
        <w:tc>
          <w:tcPr>
            <w:tcW w:w="32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58</w:t>
            </w:r>
          </w:p>
        </w:tc>
        <w:tc>
          <w:tcPr>
            <w:tcW w:w="33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9,480,417</w:t>
            </w:r>
          </w:p>
        </w:tc>
        <w:tc>
          <w:tcPr>
            <w:tcW w:w="449"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5.20%</w:t>
            </w:r>
          </w:p>
        </w:tc>
      </w:tr>
      <w:tr w:rsidR="002F35A8" w:rsidRPr="002879E1" w:rsidTr="000B6B97">
        <w:tc>
          <w:tcPr>
            <w:tcW w:w="845" w:type="pct"/>
            <w:shd w:val="clear" w:color="auto" w:fill="auto"/>
            <w:vAlign w:val="center"/>
          </w:tcPr>
          <w:p w:rsidR="002F35A8" w:rsidRPr="002879E1" w:rsidRDefault="002879E1" w:rsidP="00FF5784">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Foreign investors, Economic organizations with foreign investors holding more than 50% of charter capital</w:t>
            </w:r>
          </w:p>
        </w:tc>
        <w:tc>
          <w:tcPr>
            <w:tcW w:w="480"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301"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32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33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10,000,000</w:t>
            </w:r>
          </w:p>
        </w:tc>
        <w:tc>
          <w:tcPr>
            <w:tcW w:w="449"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0.00%</w:t>
            </w:r>
          </w:p>
        </w:tc>
      </w:tr>
      <w:tr w:rsidR="002F35A8" w:rsidRPr="002879E1" w:rsidTr="000B6B97">
        <w:tc>
          <w:tcPr>
            <w:tcW w:w="845" w:type="pct"/>
            <w:shd w:val="clear" w:color="auto" w:fill="auto"/>
            <w:vAlign w:val="center"/>
          </w:tcPr>
          <w:p w:rsidR="002F35A8" w:rsidRPr="002879E1" w:rsidRDefault="002879E1" w:rsidP="00FF5784">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Institutional investors, in which:</w:t>
            </w:r>
          </w:p>
        </w:tc>
        <w:tc>
          <w:tcPr>
            <w:tcW w:w="480"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566"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566"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566"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301"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325"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335"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566"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c>
          <w:tcPr>
            <w:tcW w:w="449" w:type="pct"/>
            <w:shd w:val="clear" w:color="auto" w:fill="auto"/>
            <w:vAlign w:val="center"/>
          </w:tcPr>
          <w:p w:rsidR="002F35A8" w:rsidRPr="002879E1" w:rsidRDefault="002F35A8" w:rsidP="00FF5784">
            <w:pPr>
              <w:tabs>
                <w:tab w:val="left" w:pos="432"/>
              </w:tabs>
              <w:spacing w:after="120" w:line="360" w:lineRule="auto"/>
              <w:jc w:val="both"/>
              <w:rPr>
                <w:rFonts w:ascii="Arial" w:eastAsia="Arial" w:hAnsi="Arial" w:cs="Arial"/>
                <w:color w:val="010000"/>
                <w:sz w:val="20"/>
                <w:szCs w:val="20"/>
              </w:rPr>
            </w:pPr>
          </w:p>
        </w:tc>
      </w:tr>
      <w:tr w:rsidR="002F35A8" w:rsidRPr="002879E1" w:rsidTr="000B6B97">
        <w:tc>
          <w:tcPr>
            <w:tcW w:w="845" w:type="pct"/>
            <w:shd w:val="clear" w:color="auto" w:fill="auto"/>
            <w:vAlign w:val="center"/>
          </w:tcPr>
          <w:p w:rsidR="002F35A8" w:rsidRPr="002879E1" w:rsidRDefault="002879E1" w:rsidP="00FF5784">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Domestic investors</w:t>
            </w:r>
          </w:p>
        </w:tc>
        <w:tc>
          <w:tcPr>
            <w:tcW w:w="480"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9,990,000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9,248,963</w:t>
            </w:r>
          </w:p>
        </w:tc>
        <w:tc>
          <w:tcPr>
            <w:tcW w:w="301"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w:t>
            </w:r>
          </w:p>
        </w:tc>
        <w:tc>
          <w:tcPr>
            <w:tcW w:w="32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w:t>
            </w:r>
          </w:p>
        </w:tc>
        <w:tc>
          <w:tcPr>
            <w:tcW w:w="33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751,037</w:t>
            </w:r>
          </w:p>
        </w:tc>
        <w:tc>
          <w:tcPr>
            <w:tcW w:w="449"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92.49%</w:t>
            </w:r>
          </w:p>
        </w:tc>
      </w:tr>
      <w:tr w:rsidR="002F35A8" w:rsidRPr="002879E1" w:rsidTr="000B6B97">
        <w:tc>
          <w:tcPr>
            <w:tcW w:w="845" w:type="pct"/>
            <w:shd w:val="clear" w:color="auto" w:fill="auto"/>
            <w:vAlign w:val="center"/>
          </w:tcPr>
          <w:p w:rsidR="002F35A8" w:rsidRPr="002879E1" w:rsidRDefault="002879E1" w:rsidP="00FF5784">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 xml:space="preserve">Foreign investors, </w:t>
            </w:r>
            <w:r w:rsidRPr="002879E1">
              <w:rPr>
                <w:rFonts w:ascii="Arial" w:hAnsi="Arial" w:cs="Arial"/>
                <w:color w:val="010000"/>
                <w:sz w:val="20"/>
              </w:rPr>
              <w:lastRenderedPageBreak/>
              <w:t>Economic organizations with foreign investors holding more than 50% of charter capital</w:t>
            </w:r>
          </w:p>
        </w:tc>
        <w:tc>
          <w:tcPr>
            <w:tcW w:w="480"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lastRenderedPageBreak/>
              <w:t>100,000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250,000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231,454</w:t>
            </w:r>
          </w:p>
        </w:tc>
        <w:tc>
          <w:tcPr>
            <w:tcW w:w="301"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w:t>
            </w:r>
          </w:p>
        </w:tc>
        <w:tc>
          <w:tcPr>
            <w:tcW w:w="32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w:t>
            </w:r>
          </w:p>
        </w:tc>
        <w:tc>
          <w:tcPr>
            <w:tcW w:w="33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9,768,546</w:t>
            </w:r>
          </w:p>
        </w:tc>
        <w:tc>
          <w:tcPr>
            <w:tcW w:w="449"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2.31%</w:t>
            </w:r>
          </w:p>
        </w:tc>
      </w:tr>
      <w:tr w:rsidR="002F35A8" w:rsidRPr="002879E1" w:rsidTr="000B6B97">
        <w:tc>
          <w:tcPr>
            <w:tcW w:w="84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lastRenderedPageBreak/>
              <w:t>Total</w:t>
            </w:r>
          </w:p>
        </w:tc>
        <w:tc>
          <w:tcPr>
            <w:tcW w:w="480"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10,000,000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10,801,250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10,000,000</w:t>
            </w:r>
          </w:p>
        </w:tc>
        <w:tc>
          <w:tcPr>
            <w:tcW w:w="301"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69</w:t>
            </w:r>
          </w:p>
        </w:tc>
        <w:tc>
          <w:tcPr>
            <w:tcW w:w="32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69</w:t>
            </w:r>
          </w:p>
        </w:tc>
        <w:tc>
          <w:tcPr>
            <w:tcW w:w="335"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566"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0</w:t>
            </w:r>
          </w:p>
        </w:tc>
        <w:tc>
          <w:tcPr>
            <w:tcW w:w="449" w:type="pct"/>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100.00%</w:t>
            </w:r>
          </w:p>
        </w:tc>
      </w:tr>
    </w:tbl>
    <w:p w:rsidR="002F35A8" w:rsidRPr="002879E1" w:rsidRDefault="002879E1" w:rsidP="00FF5784">
      <w:pPr>
        <w:numPr>
          <w:ilvl w:val="0"/>
          <w:numId w:val="8"/>
        </w:numPr>
        <w:pBdr>
          <w:top w:val="nil"/>
          <w:left w:val="nil"/>
          <w:bottom w:val="nil"/>
          <w:right w:val="nil"/>
          <w:between w:val="nil"/>
        </w:pBdr>
        <w:tabs>
          <w:tab w:val="left" w:pos="432"/>
          <w:tab w:val="left" w:pos="512"/>
        </w:tabs>
        <w:spacing w:after="120" w:line="360" w:lineRule="auto"/>
        <w:jc w:val="both"/>
        <w:rPr>
          <w:rFonts w:ascii="Arial" w:eastAsia="Arial" w:hAnsi="Arial" w:cs="Arial"/>
          <w:color w:val="010000"/>
          <w:sz w:val="20"/>
          <w:szCs w:val="20"/>
        </w:rPr>
      </w:pPr>
      <w:r w:rsidRPr="002879E1">
        <w:rPr>
          <w:rFonts w:ascii="Arial" w:hAnsi="Arial" w:cs="Arial"/>
          <w:color w:val="010000"/>
          <w:sz w:val="20"/>
        </w:rPr>
        <w:t>Summary of the results of the bond offering</w:t>
      </w:r>
    </w:p>
    <w:p w:rsidR="002F35A8" w:rsidRPr="002879E1" w:rsidRDefault="002879E1" w:rsidP="00FF5784">
      <w:pPr>
        <w:numPr>
          <w:ilvl w:val="0"/>
          <w:numId w:val="1"/>
        </w:numPr>
        <w:pBdr>
          <w:top w:val="nil"/>
          <w:left w:val="nil"/>
          <w:bottom w:val="nil"/>
          <w:right w:val="nil"/>
          <w:between w:val="nil"/>
        </w:pBdr>
        <w:tabs>
          <w:tab w:val="left" w:pos="373"/>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Total number of distributed bonds: 10,000,000 bonds, equivalent to 100% of total bonds offered.</w:t>
      </w:r>
    </w:p>
    <w:p w:rsidR="002F35A8" w:rsidRPr="002879E1" w:rsidRDefault="002879E1" w:rsidP="00FF5784">
      <w:pPr>
        <w:numPr>
          <w:ilvl w:val="0"/>
          <w:numId w:val="1"/>
        </w:numPr>
        <w:pBdr>
          <w:top w:val="nil"/>
          <w:left w:val="nil"/>
          <w:bottom w:val="nil"/>
          <w:right w:val="nil"/>
          <w:between w:val="nil"/>
        </w:pBdr>
        <w:tabs>
          <w:tab w:val="left" w:pos="36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Total proceeds from the offering: VND1,000,000,000,000</w:t>
      </w:r>
    </w:p>
    <w:p w:rsidR="002F35A8" w:rsidRPr="002879E1" w:rsidRDefault="002879E1" w:rsidP="00FF5784">
      <w:pPr>
        <w:numPr>
          <w:ilvl w:val="0"/>
          <w:numId w:val="1"/>
        </w:numPr>
        <w:pBdr>
          <w:top w:val="nil"/>
          <w:left w:val="nil"/>
          <w:bottom w:val="nil"/>
          <w:right w:val="nil"/>
          <w:between w:val="nil"/>
        </w:pBdr>
        <w:tabs>
          <w:tab w:val="left" w:pos="36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Total expenses: VND0 (VAT included)</w:t>
      </w:r>
    </w:p>
    <w:p w:rsidR="002F35A8" w:rsidRPr="002879E1" w:rsidRDefault="002879E1" w:rsidP="00FF5784">
      <w:pPr>
        <w:numPr>
          <w:ilvl w:val="0"/>
          <w:numId w:val="2"/>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Underwriting for issuance expenses: VND0</w:t>
      </w:r>
    </w:p>
    <w:p w:rsidR="002F35A8" w:rsidRPr="002879E1" w:rsidRDefault="002879E1" w:rsidP="00FF5784">
      <w:pPr>
        <w:numPr>
          <w:ilvl w:val="0"/>
          <w:numId w:val="2"/>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Bond distribution expenses: VND0</w:t>
      </w:r>
    </w:p>
    <w:p w:rsidR="002F35A8" w:rsidRPr="002879E1" w:rsidRDefault="002879E1" w:rsidP="00FF5784">
      <w:pPr>
        <w:numPr>
          <w:ilvl w:val="0"/>
          <w:numId w:val="2"/>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Consulting fee for offering: VND0</w:t>
      </w:r>
    </w:p>
    <w:p w:rsidR="002F35A8" w:rsidRPr="002879E1" w:rsidRDefault="002879E1" w:rsidP="00FF5784">
      <w:pPr>
        <w:numPr>
          <w:ilvl w:val="0"/>
          <w:numId w:val="2"/>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Audit expenses: VND0</w:t>
      </w:r>
    </w:p>
    <w:p w:rsidR="002F35A8" w:rsidRPr="002879E1" w:rsidRDefault="002879E1" w:rsidP="00FF5784">
      <w:pPr>
        <w:numPr>
          <w:ilvl w:val="0"/>
          <w:numId w:val="2"/>
        </w:numPr>
        <w:pBdr>
          <w:top w:val="nil"/>
          <w:left w:val="nil"/>
          <w:bottom w:val="nil"/>
          <w:right w:val="nil"/>
          <w:between w:val="nil"/>
        </w:pBdr>
        <w:tabs>
          <w:tab w:val="left" w:pos="267"/>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Offering Registration Certificate fee: VND0</w:t>
      </w:r>
    </w:p>
    <w:p w:rsidR="002F35A8" w:rsidRPr="002879E1" w:rsidRDefault="002879E1" w:rsidP="00FF5784">
      <w:pPr>
        <w:keepNext/>
        <w:numPr>
          <w:ilvl w:val="0"/>
          <w:numId w:val="1"/>
        </w:numPr>
        <w:pBdr>
          <w:top w:val="nil"/>
          <w:left w:val="nil"/>
          <w:bottom w:val="nil"/>
          <w:right w:val="nil"/>
          <w:between w:val="nil"/>
        </w:pBdr>
        <w:tabs>
          <w:tab w:val="left" w:pos="368"/>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Total net proceeds from the offering: VND1,000,000,000,000</w:t>
      </w:r>
    </w:p>
    <w:p w:rsidR="002F35A8" w:rsidRPr="002879E1" w:rsidRDefault="002879E1" w:rsidP="00FF5784">
      <w:pPr>
        <w:pStyle w:val="ListParagraph"/>
        <w:keepNext/>
        <w:numPr>
          <w:ilvl w:val="0"/>
          <w:numId w:val="8"/>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2879E1">
        <w:rPr>
          <w:rFonts w:ascii="Arial" w:hAnsi="Arial" w:cs="Arial"/>
          <w:color w:val="010000"/>
          <w:sz w:val="20"/>
        </w:rPr>
        <w:t>Capital structure of the Issuer after the offering</w:t>
      </w:r>
    </w:p>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Unit: Million VND</w:t>
      </w:r>
    </w:p>
    <w:tbl>
      <w:tblPr>
        <w:tblStyle w:val="a0"/>
        <w:tblW w:w="5000" w:type="pct"/>
        <w:tblLook w:val="0400" w:firstRow="0" w:lastRow="0" w:firstColumn="0" w:lastColumn="0" w:noHBand="0" w:noVBand="1"/>
      </w:tblPr>
      <w:tblGrid>
        <w:gridCol w:w="3895"/>
        <w:gridCol w:w="2559"/>
        <w:gridCol w:w="2563"/>
      </w:tblGrid>
      <w:tr w:rsidR="002F35A8" w:rsidRPr="002879E1" w:rsidTr="000B6B97">
        <w:tc>
          <w:tcPr>
            <w:tcW w:w="2160" w:type="pct"/>
            <w:tcBorders>
              <w:top w:val="single" w:sz="4" w:space="0" w:color="000000"/>
              <w:lef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Targets of the Consolidated Financial Statements</w:t>
            </w:r>
          </w:p>
        </w:tc>
        <w:tc>
          <w:tcPr>
            <w:tcW w:w="1419" w:type="pct"/>
            <w:tcBorders>
              <w:top w:val="single" w:sz="4" w:space="0" w:color="000000"/>
              <w:lef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Before the offering (June 30, 2024)</w:t>
            </w:r>
          </w:p>
        </w:tc>
        <w:tc>
          <w:tcPr>
            <w:tcW w:w="1421" w:type="pct"/>
            <w:tcBorders>
              <w:top w:val="single" w:sz="4" w:space="0" w:color="000000"/>
              <w:left w:val="single" w:sz="4" w:space="0" w:color="000000"/>
              <w:righ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After the offering (August 7, 2024)</w:t>
            </w:r>
          </w:p>
        </w:tc>
      </w:tr>
      <w:tr w:rsidR="002F35A8" w:rsidRPr="002879E1" w:rsidTr="000B6B97">
        <w:tc>
          <w:tcPr>
            <w:tcW w:w="2160" w:type="pct"/>
            <w:tcBorders>
              <w:top w:val="single" w:sz="4" w:space="0" w:color="000000"/>
              <w:left w:val="single" w:sz="4" w:space="0" w:color="000000"/>
            </w:tcBorders>
            <w:shd w:val="clear" w:color="auto" w:fill="auto"/>
            <w:vAlign w:val="center"/>
          </w:tcPr>
          <w:p w:rsidR="002F35A8" w:rsidRPr="002879E1" w:rsidRDefault="002879E1" w:rsidP="00FF5784">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Total liabilities (*)</w:t>
            </w:r>
          </w:p>
        </w:tc>
        <w:tc>
          <w:tcPr>
            <w:tcW w:w="1419" w:type="pct"/>
            <w:tcBorders>
              <w:top w:val="single" w:sz="4" w:space="0" w:color="000000"/>
              <w:lef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571,617,788</w:t>
            </w:r>
          </w:p>
        </w:tc>
        <w:tc>
          <w:tcPr>
            <w:tcW w:w="1421" w:type="pct"/>
            <w:tcBorders>
              <w:top w:val="single" w:sz="4" w:space="0" w:color="000000"/>
              <w:left w:val="single" w:sz="4" w:space="0" w:color="000000"/>
              <w:righ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572,617,788</w:t>
            </w:r>
          </w:p>
        </w:tc>
      </w:tr>
      <w:tr w:rsidR="002F35A8" w:rsidRPr="002879E1" w:rsidTr="000B6B97">
        <w:tc>
          <w:tcPr>
            <w:tcW w:w="2160" w:type="pct"/>
            <w:tcBorders>
              <w:left w:val="single" w:sz="4" w:space="0" w:color="000000"/>
            </w:tcBorders>
            <w:shd w:val="clear" w:color="auto" w:fill="auto"/>
            <w:vAlign w:val="center"/>
          </w:tcPr>
          <w:p w:rsidR="002F35A8" w:rsidRPr="002879E1" w:rsidRDefault="002879E1" w:rsidP="00FF5784">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Short-term payables</w:t>
            </w:r>
          </w:p>
        </w:tc>
        <w:tc>
          <w:tcPr>
            <w:tcW w:w="1419" w:type="pct"/>
            <w:tcBorders>
              <w:lef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410,641,076</w:t>
            </w:r>
          </w:p>
        </w:tc>
        <w:tc>
          <w:tcPr>
            <w:tcW w:w="1421" w:type="pct"/>
            <w:tcBorders>
              <w:left w:val="single" w:sz="4" w:space="0" w:color="000000"/>
              <w:righ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410,641,076</w:t>
            </w:r>
          </w:p>
        </w:tc>
      </w:tr>
      <w:tr w:rsidR="002F35A8" w:rsidRPr="002879E1" w:rsidTr="000B6B97">
        <w:tc>
          <w:tcPr>
            <w:tcW w:w="2160" w:type="pct"/>
            <w:tcBorders>
              <w:left w:val="single" w:sz="4" w:space="0" w:color="000000"/>
            </w:tcBorders>
            <w:shd w:val="clear" w:color="auto" w:fill="auto"/>
            <w:vAlign w:val="center"/>
          </w:tcPr>
          <w:p w:rsidR="002F35A8" w:rsidRPr="002879E1" w:rsidRDefault="002879E1" w:rsidP="00FF5784">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Long-term payables</w:t>
            </w:r>
          </w:p>
        </w:tc>
        <w:tc>
          <w:tcPr>
            <w:tcW w:w="1419" w:type="pct"/>
            <w:tcBorders>
              <w:lef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160,976,712</w:t>
            </w:r>
          </w:p>
        </w:tc>
        <w:tc>
          <w:tcPr>
            <w:tcW w:w="1421" w:type="pct"/>
            <w:tcBorders>
              <w:left w:val="single" w:sz="4" w:space="0" w:color="000000"/>
              <w:righ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161,976,712</w:t>
            </w:r>
          </w:p>
        </w:tc>
      </w:tr>
      <w:tr w:rsidR="002F35A8" w:rsidRPr="002879E1" w:rsidTr="000B6B97">
        <w:tc>
          <w:tcPr>
            <w:tcW w:w="2160" w:type="pct"/>
            <w:tcBorders>
              <w:left w:val="single" w:sz="4" w:space="0" w:color="000000"/>
            </w:tcBorders>
            <w:shd w:val="clear" w:color="auto" w:fill="auto"/>
            <w:vAlign w:val="center"/>
          </w:tcPr>
          <w:p w:rsidR="002F35A8" w:rsidRPr="002879E1" w:rsidRDefault="002879E1" w:rsidP="00FF5784">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In which, unmatured bonds</w:t>
            </w:r>
          </w:p>
        </w:tc>
        <w:tc>
          <w:tcPr>
            <w:tcW w:w="1419" w:type="pct"/>
            <w:tcBorders>
              <w:lef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32,772,656</w:t>
            </w:r>
          </w:p>
        </w:tc>
        <w:tc>
          <w:tcPr>
            <w:tcW w:w="1421" w:type="pct"/>
            <w:tcBorders>
              <w:left w:val="single" w:sz="4" w:space="0" w:color="000000"/>
              <w:righ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33,772,656</w:t>
            </w:r>
          </w:p>
        </w:tc>
      </w:tr>
      <w:tr w:rsidR="002F35A8" w:rsidRPr="002879E1" w:rsidTr="000B6B97">
        <w:tc>
          <w:tcPr>
            <w:tcW w:w="2160" w:type="pct"/>
            <w:tcBorders>
              <w:left w:val="single" w:sz="4" w:space="0" w:color="000000"/>
            </w:tcBorders>
            <w:shd w:val="clear" w:color="auto" w:fill="auto"/>
            <w:vAlign w:val="center"/>
          </w:tcPr>
          <w:p w:rsidR="002F35A8" w:rsidRPr="002879E1" w:rsidRDefault="002879E1" w:rsidP="00FF5784">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Total owners’ equity</w:t>
            </w:r>
          </w:p>
        </w:tc>
        <w:tc>
          <w:tcPr>
            <w:tcW w:w="1419" w:type="pct"/>
            <w:tcBorders>
              <w:lef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52,825,710</w:t>
            </w:r>
          </w:p>
        </w:tc>
        <w:tc>
          <w:tcPr>
            <w:tcW w:w="1421" w:type="pct"/>
            <w:tcBorders>
              <w:left w:val="single" w:sz="4" w:space="0" w:color="000000"/>
              <w:righ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52,825,710</w:t>
            </w:r>
          </w:p>
        </w:tc>
      </w:tr>
      <w:tr w:rsidR="002F35A8" w:rsidRPr="002879E1" w:rsidTr="000B6B97">
        <w:tc>
          <w:tcPr>
            <w:tcW w:w="2160" w:type="pct"/>
            <w:tcBorders>
              <w:left w:val="single" w:sz="4" w:space="0" w:color="000000"/>
              <w:bottom w:val="single" w:sz="4" w:space="0" w:color="000000"/>
            </w:tcBorders>
            <w:shd w:val="clear" w:color="auto" w:fill="auto"/>
            <w:vAlign w:val="center"/>
          </w:tcPr>
          <w:p w:rsidR="002F35A8" w:rsidRPr="002879E1" w:rsidRDefault="002879E1" w:rsidP="00FF5784">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9E1">
              <w:rPr>
                <w:rFonts w:ascii="Arial" w:hAnsi="Arial" w:cs="Arial"/>
                <w:color w:val="010000"/>
                <w:sz w:val="20"/>
              </w:rPr>
              <w:t>Liability/owners’ equity rate (times)</w:t>
            </w:r>
          </w:p>
        </w:tc>
        <w:tc>
          <w:tcPr>
            <w:tcW w:w="1419" w:type="pct"/>
            <w:tcBorders>
              <w:left w:val="single" w:sz="4" w:space="0" w:color="000000"/>
              <w:bottom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10.82</w:t>
            </w:r>
          </w:p>
        </w:tc>
        <w:tc>
          <w:tcPr>
            <w:tcW w:w="1421" w:type="pct"/>
            <w:tcBorders>
              <w:left w:val="single" w:sz="4" w:space="0" w:color="000000"/>
              <w:bottom w:val="single" w:sz="4" w:space="0" w:color="000000"/>
              <w:right w:val="single" w:sz="4" w:space="0" w:color="000000"/>
            </w:tcBorders>
            <w:shd w:val="clear" w:color="auto" w:fill="auto"/>
            <w:vAlign w:val="center"/>
          </w:tcPr>
          <w:p w:rsidR="002F35A8" w:rsidRPr="002879E1" w:rsidRDefault="002879E1" w:rsidP="00FF578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10.84</w:t>
            </w:r>
          </w:p>
        </w:tc>
      </w:tr>
    </w:tbl>
    <w:p w:rsidR="002F35A8" w:rsidRPr="002879E1" w:rsidRDefault="002879E1" w:rsidP="00FF5784">
      <w:pPr>
        <w:tabs>
          <w:tab w:val="left" w:pos="432"/>
        </w:tabs>
        <w:spacing w:after="120" w:line="360" w:lineRule="auto"/>
        <w:jc w:val="both"/>
        <w:rPr>
          <w:rFonts w:ascii="Arial" w:eastAsia="Arial" w:hAnsi="Arial" w:cs="Arial"/>
          <w:color w:val="010000"/>
          <w:sz w:val="20"/>
          <w:szCs w:val="20"/>
        </w:rPr>
      </w:pPr>
      <w:r w:rsidRPr="002879E1">
        <w:rPr>
          <w:rFonts w:ascii="Arial" w:hAnsi="Arial" w:cs="Arial"/>
          <w:color w:val="010000"/>
          <w:sz w:val="20"/>
        </w:rPr>
        <w:t xml:space="preserve">(*) </w:t>
      </w:r>
      <w:r w:rsidR="008B72F2" w:rsidRPr="002879E1">
        <w:rPr>
          <w:rFonts w:ascii="Arial" w:hAnsi="Arial" w:cs="Arial"/>
          <w:color w:val="010000"/>
          <w:sz w:val="20"/>
        </w:rPr>
        <w:t>T</w:t>
      </w:r>
      <w:r w:rsidRPr="002879E1">
        <w:rPr>
          <w:rFonts w:ascii="Arial" w:hAnsi="Arial" w:cs="Arial"/>
          <w:color w:val="010000"/>
          <w:sz w:val="20"/>
        </w:rPr>
        <w:t>argets calculated according to the characteristics of banking activities</w:t>
      </w:r>
      <w:r w:rsidR="000277F3">
        <w:rPr>
          <w:rFonts w:ascii="Arial" w:hAnsi="Arial" w:cs="Arial"/>
          <w:color w:val="010000"/>
          <w:sz w:val="20"/>
        </w:rPr>
        <w:t>.</w:t>
      </w:r>
      <w:bookmarkStart w:id="0" w:name="_GoBack"/>
      <w:bookmarkEnd w:id="0"/>
    </w:p>
    <w:sectPr w:rsidR="002F35A8" w:rsidRPr="002879E1" w:rsidSect="000B6B9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07C21034-1814-48B6-AAB3-21346CC34FF8}"/>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4679902B-54D5-4E61-A2E3-F91F30A7F405}"/>
    <w:embedItalic r:id="rId3" w:fontKey="{85064142-0926-4979-B641-E4C8681AA8D5}"/>
  </w:font>
  <w:font w:name="Aptos Display">
    <w:charset w:val="00"/>
    <w:family w:val="swiss"/>
    <w:pitch w:val="variable"/>
    <w:sig w:usb0="20000287" w:usb1="00000003" w:usb2="00000000" w:usb3="00000000" w:csb0="0000019F" w:csb1="00000000"/>
    <w:embedRegular r:id="rId4" w:fontKey="{B0608FA5-0A97-4A75-8593-CEB2F0E0466E}"/>
  </w:font>
  <w:font w:name="Aptos">
    <w:charset w:val="00"/>
    <w:family w:val="swiss"/>
    <w:pitch w:val="variable"/>
    <w:sig w:usb0="20000287" w:usb1="00000003" w:usb2="00000000" w:usb3="00000000" w:csb0="0000019F" w:csb1="00000000"/>
    <w:embedRegular r:id="rId5" w:fontKey="{5BC2F24C-D718-4B68-A562-B5D9744329A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46F"/>
    <w:multiLevelType w:val="multilevel"/>
    <w:tmpl w:val="F74A7D02"/>
    <w:lvl w:ilvl="0">
      <w:start w:val="1"/>
      <w:numFmt w:val="decimal"/>
      <w:lvlText w:val="%1."/>
      <w:lvlJc w:val="left"/>
      <w:pPr>
        <w:ind w:left="0" w:firstLine="0"/>
      </w:pPr>
      <w:rPr>
        <w:rFonts w:ascii="Arial" w:eastAsia="Arial" w:hAnsi="Arial" w:cs="Arial"/>
        <w:b w:val="0"/>
        <w:i w:val="0"/>
        <w:smallCaps w:val="0"/>
        <w:strike w:val="0"/>
        <w:color w:val="35363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1A755D"/>
    <w:multiLevelType w:val="multilevel"/>
    <w:tmpl w:val="AA785AFE"/>
    <w:lvl w:ilvl="0">
      <w:start w:val="2"/>
      <w:numFmt w:val="upperRoman"/>
      <w:lvlText w:val="%1."/>
      <w:lvlJc w:val="left"/>
      <w:pPr>
        <w:ind w:left="0" w:firstLine="0"/>
      </w:pPr>
      <w:rPr>
        <w:rFonts w:ascii="Arial" w:eastAsia="Arial" w:hAnsi="Arial" w:cs="Arial"/>
        <w:b w:val="0"/>
        <w:i w:val="0"/>
        <w:smallCaps w:val="0"/>
        <w:strike w:val="0"/>
        <w:color w:val="35363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E49136E"/>
    <w:multiLevelType w:val="multilevel"/>
    <w:tmpl w:val="1FE26114"/>
    <w:lvl w:ilvl="0">
      <w:start w:val="5"/>
      <w:numFmt w:val="upperRoman"/>
      <w:lvlText w:val="%1."/>
      <w:lvlJc w:val="left"/>
      <w:pPr>
        <w:ind w:left="0" w:firstLine="0"/>
      </w:pPr>
      <w:rPr>
        <w:rFonts w:ascii="Arial" w:eastAsia="Arial" w:hAnsi="Arial" w:cs="Arial"/>
        <w:b w:val="0"/>
        <w:i w:val="0"/>
        <w:smallCaps w:val="0"/>
        <w:strike w:val="0"/>
        <w:color w:val="35363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18509E"/>
    <w:multiLevelType w:val="multilevel"/>
    <w:tmpl w:val="20248F72"/>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4A7641"/>
    <w:multiLevelType w:val="multilevel"/>
    <w:tmpl w:val="D5E08B3A"/>
    <w:lvl w:ilvl="0">
      <w:start w:val="1"/>
      <w:numFmt w:val="decimal"/>
      <w:lvlText w:val="%1."/>
      <w:lvlJc w:val="left"/>
      <w:pPr>
        <w:ind w:left="0" w:firstLine="0"/>
      </w:pPr>
      <w:rPr>
        <w:rFonts w:ascii="Arial" w:eastAsia="Arial" w:hAnsi="Arial" w:cs="Arial"/>
        <w:b w:val="0"/>
        <w:i w:val="0"/>
        <w:smallCaps w:val="0"/>
        <w:strike w:val="0"/>
        <w:color w:val="35363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FEA6F9F"/>
    <w:multiLevelType w:val="multilevel"/>
    <w:tmpl w:val="F190E854"/>
    <w:lvl w:ilvl="0">
      <w:start w:val="1"/>
      <w:numFmt w:val="bullet"/>
      <w:lvlText w:val="-"/>
      <w:lvlJc w:val="left"/>
      <w:pPr>
        <w:ind w:left="0" w:firstLine="0"/>
      </w:pPr>
      <w:rPr>
        <w:rFonts w:ascii="Arial" w:eastAsia="Arial" w:hAnsi="Arial" w:cs="Arial"/>
        <w:b w:val="0"/>
        <w:i w:val="0"/>
        <w:smallCaps w:val="0"/>
        <w:strike w:val="0"/>
        <w:color w:val="35363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7476BE3"/>
    <w:multiLevelType w:val="multilevel"/>
    <w:tmpl w:val="0F96482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59094A"/>
    <w:multiLevelType w:val="multilevel"/>
    <w:tmpl w:val="B73063C0"/>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B923BE"/>
    <w:multiLevelType w:val="multilevel"/>
    <w:tmpl w:val="1192537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2"/>
  </w:num>
  <w:num w:numId="4">
    <w:abstractNumId w:val="7"/>
  </w:num>
  <w:num w:numId="5">
    <w:abstractNumId w:val="3"/>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A8"/>
    <w:rsid w:val="000277F3"/>
    <w:rsid w:val="000B6B97"/>
    <w:rsid w:val="001F626C"/>
    <w:rsid w:val="002879E1"/>
    <w:rsid w:val="002F35A8"/>
    <w:rsid w:val="003C7075"/>
    <w:rsid w:val="00874776"/>
    <w:rsid w:val="008B72F2"/>
    <w:rsid w:val="00FF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6386"/>
  <w15:docId w15:val="{5E44284B-1525-4C0B-AD97-872C69C1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6E2"/>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5">
    <w:name w:val="Body text (5)_"/>
    <w:basedOn w:val="DefaultParagraphFont"/>
    <w:link w:val="Bodytext50"/>
    <w:rPr>
      <w:rFonts w:ascii="Arial" w:eastAsia="Arial" w:hAnsi="Arial" w:cs="Arial"/>
      <w:b/>
      <w:bCs/>
      <w:i w:val="0"/>
      <w:iCs w:val="0"/>
      <w:smallCaps w:val="0"/>
      <w:strike w:val="0"/>
      <w:color w:val="424675"/>
      <w:sz w:val="48"/>
      <w:szCs w:val="48"/>
      <w:u w:val="none"/>
      <w:lang w:val="en-US" w:eastAsia="en-US"/>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424675"/>
      <w:sz w:val="16"/>
      <w:szCs w:val="1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2"/>
      <w:szCs w:val="12"/>
      <w:u w:val="none"/>
      <w:lang w:val="en-US" w:eastAsia="en-US"/>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E3444E"/>
      <w:sz w:val="18"/>
      <w:szCs w:val="18"/>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35363B"/>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color w:val="35363B"/>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Arial" w:eastAsia="Arial" w:hAnsi="Arial" w:cs="Arial"/>
      <w:b/>
      <w:bCs/>
      <w:i w:val="0"/>
      <w:iCs w:val="0"/>
      <w:smallCaps w:val="0"/>
      <w:strike w:val="0"/>
      <w:color w:val="E3444E"/>
      <w:sz w:val="20"/>
      <w:szCs w:val="20"/>
      <w:u w:val="none"/>
      <w:lang w:val="en-US" w:eastAsia="en-US"/>
    </w:rPr>
  </w:style>
  <w:style w:type="character" w:customStyle="1" w:styleId="Heading10">
    <w:name w:val="Heading #1_"/>
    <w:basedOn w:val="DefaultParagraphFont"/>
    <w:link w:val="Heading11"/>
    <w:rPr>
      <w:rFonts w:ascii="Arial" w:eastAsia="Arial" w:hAnsi="Arial" w:cs="Arial"/>
      <w:b w:val="0"/>
      <w:bCs w:val="0"/>
      <w:i w:val="0"/>
      <w:iCs w:val="0"/>
      <w:smallCaps w:val="0"/>
      <w:strike w:val="0"/>
      <w:color w:val="E3444E"/>
      <w:sz w:val="30"/>
      <w:szCs w:val="30"/>
      <w:u w:val="none"/>
      <w:lang w:val="en-US" w:eastAsia="en-US"/>
    </w:rPr>
  </w:style>
  <w:style w:type="paragraph" w:customStyle="1" w:styleId="Bodytext50">
    <w:name w:val="Body text (5)"/>
    <w:basedOn w:val="Normal"/>
    <w:link w:val="Bodytext5"/>
    <w:pPr>
      <w:ind w:firstLine="420"/>
    </w:pPr>
    <w:rPr>
      <w:rFonts w:ascii="Arial" w:eastAsia="Arial" w:hAnsi="Arial" w:cs="Arial"/>
      <w:b/>
      <w:bCs/>
      <w:color w:val="424675"/>
      <w:sz w:val="48"/>
      <w:szCs w:val="48"/>
    </w:rPr>
  </w:style>
  <w:style w:type="paragraph" w:customStyle="1" w:styleId="Bodytext30">
    <w:name w:val="Body text (3)"/>
    <w:basedOn w:val="Normal"/>
    <w:link w:val="Bodytext3"/>
    <w:pPr>
      <w:ind w:firstLine="420"/>
    </w:pPr>
    <w:rPr>
      <w:rFonts w:ascii="Arial" w:eastAsia="Arial" w:hAnsi="Arial" w:cs="Arial"/>
      <w:color w:val="424675"/>
      <w:sz w:val="16"/>
      <w:szCs w:val="16"/>
    </w:rPr>
  </w:style>
  <w:style w:type="paragraph" w:styleId="BodyText">
    <w:name w:val="Body Text"/>
    <w:basedOn w:val="Normal"/>
    <w:link w:val="BodyTextChar"/>
    <w:qFormat/>
    <w:pPr>
      <w:spacing w:line="290" w:lineRule="auto"/>
    </w:pPr>
    <w:rPr>
      <w:rFonts w:ascii="Times New Roman" w:eastAsia="Times New Roman" w:hAnsi="Times New Roman" w:cs="Times New Roman"/>
    </w:rPr>
  </w:style>
  <w:style w:type="paragraph" w:customStyle="1" w:styleId="Bodytext60">
    <w:name w:val="Body text (6)"/>
    <w:basedOn w:val="Normal"/>
    <w:link w:val="Bodytext6"/>
    <w:pPr>
      <w:ind w:hanging="1120"/>
    </w:pPr>
    <w:rPr>
      <w:rFonts w:ascii="Times New Roman" w:eastAsia="Times New Roman" w:hAnsi="Times New Roman" w:cs="Times New Roman"/>
      <w:sz w:val="12"/>
      <w:szCs w:val="12"/>
    </w:rPr>
  </w:style>
  <w:style w:type="paragraph" w:customStyle="1" w:styleId="Bodytext40">
    <w:name w:val="Body text (4)"/>
    <w:basedOn w:val="Normal"/>
    <w:link w:val="Bodytext4"/>
    <w:rPr>
      <w:rFonts w:ascii="Arial" w:eastAsia="Arial" w:hAnsi="Arial" w:cs="Arial"/>
      <w:color w:val="E3444E"/>
      <w:sz w:val="18"/>
      <w:szCs w:val="18"/>
    </w:rPr>
  </w:style>
  <w:style w:type="paragraph" w:customStyle="1" w:styleId="Heading21">
    <w:name w:val="Heading #2"/>
    <w:basedOn w:val="Normal"/>
    <w:link w:val="Heading20"/>
    <w:pPr>
      <w:spacing w:line="290" w:lineRule="auto"/>
      <w:outlineLvl w:val="1"/>
    </w:pPr>
    <w:rPr>
      <w:rFonts w:ascii="Times New Roman" w:eastAsia="Times New Roman" w:hAnsi="Times New Roman" w:cs="Times New Roman"/>
      <w:b/>
      <w:bCs/>
      <w:color w:val="35363B"/>
    </w:rPr>
  </w:style>
  <w:style w:type="paragraph" w:customStyle="1" w:styleId="Tablecaption0">
    <w:name w:val="Table caption"/>
    <w:basedOn w:val="Normal"/>
    <w:link w:val="Tablecaption"/>
    <w:rPr>
      <w:rFonts w:ascii="Times New Roman" w:eastAsia="Times New Roman" w:hAnsi="Times New Roman" w:cs="Times New Roman"/>
      <w:i/>
      <w:iCs/>
      <w:color w:val="35363B"/>
    </w:rPr>
  </w:style>
  <w:style w:type="paragraph" w:customStyle="1" w:styleId="Other0">
    <w:name w:val="Other"/>
    <w:basedOn w:val="Normal"/>
    <w:link w:val="Other"/>
    <w:pPr>
      <w:spacing w:line="290" w:lineRule="auto"/>
    </w:pPr>
    <w:rPr>
      <w:rFonts w:ascii="Times New Roman" w:eastAsia="Times New Roman" w:hAnsi="Times New Roman" w:cs="Times New Roman"/>
    </w:rPr>
  </w:style>
  <w:style w:type="paragraph" w:customStyle="1" w:styleId="Bodytext20">
    <w:name w:val="Body text (2)"/>
    <w:basedOn w:val="Normal"/>
    <w:link w:val="Bodytext2"/>
    <w:pPr>
      <w:jc w:val="center"/>
    </w:pPr>
    <w:rPr>
      <w:rFonts w:ascii="Arial" w:eastAsia="Arial" w:hAnsi="Arial" w:cs="Arial"/>
      <w:b/>
      <w:bCs/>
      <w:color w:val="E3444E"/>
      <w:sz w:val="20"/>
      <w:szCs w:val="20"/>
    </w:rPr>
  </w:style>
  <w:style w:type="paragraph" w:customStyle="1" w:styleId="Heading11">
    <w:name w:val="Heading #1"/>
    <w:basedOn w:val="Normal"/>
    <w:link w:val="Heading10"/>
    <w:pPr>
      <w:spacing w:line="226" w:lineRule="auto"/>
      <w:jc w:val="right"/>
      <w:outlineLvl w:val="0"/>
    </w:pPr>
    <w:rPr>
      <w:rFonts w:ascii="Arial" w:eastAsia="Arial" w:hAnsi="Arial" w:cs="Arial"/>
      <w:color w:val="E3444E"/>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0B6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Nc8kDItYc5SA3M+CQpnPn0SgQ==">CgMxLjA4AHIhMU1pQTFwVmFzaXRkbUpqOHdQMkNrZnBWWFhSN1dPYzIw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Nguyễn</dc:creator>
  <cp:lastModifiedBy>Hoang Phuong Thao</cp:lastModifiedBy>
  <cp:revision>10</cp:revision>
  <dcterms:created xsi:type="dcterms:W3CDTF">2024-08-19T04:07:00Z</dcterms:created>
  <dcterms:modified xsi:type="dcterms:W3CDTF">2024-08-20T04:44:00Z</dcterms:modified>
</cp:coreProperties>
</file>