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EB" w:rsidRPr="00EC7458" w:rsidRDefault="00EC7458" w:rsidP="00650C8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C7458">
        <w:rPr>
          <w:rFonts w:ascii="Arial" w:hAnsi="Arial" w:cs="Arial"/>
          <w:b/>
          <w:bCs/>
          <w:color w:val="010000"/>
          <w:sz w:val="20"/>
        </w:rPr>
        <w:t>GEG121022:</w:t>
      </w:r>
      <w:r w:rsidRPr="00EC7458">
        <w:rPr>
          <w:rFonts w:ascii="Arial" w:hAnsi="Arial" w:cs="Arial"/>
          <w:b/>
          <w:color w:val="010000"/>
          <w:sz w:val="20"/>
        </w:rPr>
        <w:t xml:space="preserve"> Periodic information disclosure on </w:t>
      </w:r>
      <w:r w:rsidR="003965B0" w:rsidRPr="00EC7458">
        <w:rPr>
          <w:rFonts w:ascii="Arial" w:hAnsi="Arial" w:cs="Arial"/>
          <w:b/>
          <w:color w:val="010000"/>
          <w:sz w:val="20"/>
        </w:rPr>
        <w:t xml:space="preserve">the </w:t>
      </w:r>
      <w:r w:rsidRPr="00EC7458">
        <w:rPr>
          <w:rFonts w:ascii="Arial" w:hAnsi="Arial" w:cs="Arial"/>
          <w:b/>
          <w:color w:val="010000"/>
          <w:sz w:val="20"/>
        </w:rPr>
        <w:t>financial situation</w:t>
      </w:r>
      <w:bookmarkStart w:id="0" w:name="_GoBack"/>
    </w:p>
    <w:p w:rsidR="008503EB" w:rsidRPr="00EC7458" w:rsidRDefault="00EC7458" w:rsidP="00650C8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C7458">
        <w:rPr>
          <w:rFonts w:ascii="Arial" w:hAnsi="Arial" w:cs="Arial"/>
          <w:color w:val="010000"/>
          <w:sz w:val="20"/>
        </w:rPr>
        <w:t xml:space="preserve">On August 20, 2024, Corporate </w:t>
      </w:r>
      <w:r w:rsidR="003965B0" w:rsidRPr="00EC7458">
        <w:rPr>
          <w:rFonts w:ascii="Arial" w:hAnsi="Arial" w:cs="Arial"/>
          <w:color w:val="010000"/>
          <w:sz w:val="20"/>
        </w:rPr>
        <w:t>B</w:t>
      </w:r>
      <w:r w:rsidRPr="00EC7458">
        <w:rPr>
          <w:rFonts w:ascii="Arial" w:hAnsi="Arial" w:cs="Arial"/>
          <w:color w:val="010000"/>
          <w:sz w:val="20"/>
        </w:rPr>
        <w:t xml:space="preserve">ond of Gia Lai Electricity Joint Stock Company announced Official Dispatch </w:t>
      </w:r>
      <w:r w:rsidR="003965B0" w:rsidRPr="00EC7458">
        <w:rPr>
          <w:rFonts w:ascii="Arial" w:hAnsi="Arial" w:cs="Arial"/>
          <w:color w:val="010000"/>
          <w:sz w:val="20"/>
        </w:rPr>
        <w:t xml:space="preserve">No. </w:t>
      </w:r>
      <w:r w:rsidRPr="00EC7458">
        <w:rPr>
          <w:rFonts w:ascii="Arial" w:hAnsi="Arial" w:cs="Arial"/>
          <w:color w:val="010000"/>
          <w:sz w:val="20"/>
        </w:rPr>
        <w:t xml:space="preserve">303/2024/CV-GEC on periodic Information </w:t>
      </w:r>
      <w:r w:rsidR="003965B0" w:rsidRPr="00EC7458">
        <w:rPr>
          <w:rFonts w:ascii="Arial" w:hAnsi="Arial" w:cs="Arial"/>
          <w:color w:val="010000"/>
          <w:sz w:val="20"/>
        </w:rPr>
        <w:t>D</w:t>
      </w:r>
      <w:r w:rsidRPr="00EC7458">
        <w:rPr>
          <w:rFonts w:ascii="Arial" w:hAnsi="Arial" w:cs="Arial"/>
          <w:color w:val="010000"/>
          <w:sz w:val="20"/>
        </w:rPr>
        <w:t xml:space="preserve">isclosure on the financial situation as follows: </w:t>
      </w:r>
    </w:p>
    <w:bookmarkEnd w:id="0"/>
    <w:p w:rsidR="008503EB" w:rsidRPr="00EC7458" w:rsidRDefault="00EC7458" w:rsidP="003965B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7458">
        <w:rPr>
          <w:rFonts w:ascii="Arial" w:hAnsi="Arial" w:cs="Arial"/>
          <w:color w:val="010000"/>
          <w:sz w:val="20"/>
        </w:rPr>
        <w:t xml:space="preserve">Financial </w:t>
      </w:r>
      <w:r w:rsidR="003965B0" w:rsidRPr="00EC7458">
        <w:rPr>
          <w:rFonts w:ascii="Arial" w:hAnsi="Arial" w:cs="Arial"/>
          <w:color w:val="010000"/>
          <w:sz w:val="20"/>
        </w:rPr>
        <w:t>situation</w:t>
      </w:r>
      <w:r w:rsidRPr="00EC7458">
        <w:rPr>
          <w:rFonts w:ascii="Arial" w:hAnsi="Arial" w:cs="Arial"/>
          <w:color w:val="010000"/>
          <w:sz w:val="20"/>
        </w:rPr>
        <w:t>:</w:t>
      </w:r>
    </w:p>
    <w:p w:rsidR="008503EB" w:rsidRPr="00EC7458" w:rsidRDefault="00EC7458" w:rsidP="00396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7458">
        <w:rPr>
          <w:rFonts w:ascii="Arial" w:hAnsi="Arial" w:cs="Arial"/>
          <w:color w:val="010000"/>
          <w:sz w:val="20"/>
        </w:rPr>
        <w:t>Reporting period: 06 months (from January 1, 2024 to June 30, 2024)</w:t>
      </w:r>
    </w:p>
    <w:p w:rsidR="008503EB" w:rsidRPr="00EC7458" w:rsidRDefault="00EC7458" w:rsidP="00396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C7458">
        <w:rPr>
          <w:rFonts w:ascii="Arial" w:hAnsi="Arial" w:cs="Arial"/>
          <w:color w:val="010000"/>
          <w:sz w:val="20"/>
        </w:rPr>
        <w:t>Basic financial indicators of the enterprise during the period: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1802"/>
        <w:gridCol w:w="1825"/>
      </w:tblGrid>
      <w:tr w:rsidR="008503EB" w:rsidRPr="00EC7458" w:rsidTr="003965B0">
        <w:tc>
          <w:tcPr>
            <w:tcW w:w="29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Previous period (first 6 months of 2023)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Reporting period (first 6 months of 2024)</w:t>
            </w:r>
          </w:p>
        </w:tc>
      </w:tr>
      <w:tr w:rsidR="008503EB" w:rsidRPr="00EC7458" w:rsidTr="003965B0">
        <w:tc>
          <w:tcPr>
            <w:tcW w:w="29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- Owners’ equity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VND5,711 billion;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VND5,870 billion;</w:t>
            </w:r>
          </w:p>
        </w:tc>
      </w:tr>
      <w:tr w:rsidR="008503EB" w:rsidRPr="00EC7458" w:rsidTr="003965B0">
        <w:tc>
          <w:tcPr>
            <w:tcW w:w="298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- Debt to Equity ra</w:t>
            </w:r>
            <w:r w:rsidR="00CE57B6" w:rsidRPr="00EC7458">
              <w:rPr>
                <w:rFonts w:ascii="Arial" w:hAnsi="Arial" w:cs="Arial"/>
                <w:color w:val="010000"/>
                <w:sz w:val="20"/>
              </w:rPr>
              <w:t>te</w:t>
            </w:r>
            <w:r w:rsidRPr="00EC7458">
              <w:rPr>
                <w:rFonts w:ascii="Arial" w:hAnsi="Arial" w:cs="Arial"/>
                <w:color w:val="010000"/>
                <w:sz w:val="20"/>
              </w:rPr>
              <w:br/>
            </w:r>
          </w:p>
        </w:tc>
        <w:tc>
          <w:tcPr>
            <w:tcW w:w="99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1.86 times</w:t>
            </w:r>
          </w:p>
        </w:tc>
        <w:tc>
          <w:tcPr>
            <w:tcW w:w="101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1.74 times</w:t>
            </w:r>
          </w:p>
        </w:tc>
      </w:tr>
      <w:tr w:rsidR="008503EB" w:rsidRPr="00EC7458" w:rsidTr="003965B0">
        <w:tc>
          <w:tcPr>
            <w:tcW w:w="298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- Bond balance/Owners’ equity</w:t>
            </w:r>
          </w:p>
        </w:tc>
        <w:tc>
          <w:tcPr>
            <w:tcW w:w="99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0.21 times</w:t>
            </w:r>
          </w:p>
        </w:tc>
        <w:tc>
          <w:tcPr>
            <w:tcW w:w="101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0.22 times</w:t>
            </w:r>
          </w:p>
        </w:tc>
      </w:tr>
      <w:tr w:rsidR="008503EB" w:rsidRPr="00EC7458" w:rsidTr="003965B0">
        <w:tc>
          <w:tcPr>
            <w:tcW w:w="298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- Profit after tax</w:t>
            </w:r>
          </w:p>
        </w:tc>
        <w:tc>
          <w:tcPr>
            <w:tcW w:w="99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VND111 billion;</w:t>
            </w:r>
          </w:p>
        </w:tc>
        <w:tc>
          <w:tcPr>
            <w:tcW w:w="101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VND128 billion;</w:t>
            </w:r>
          </w:p>
        </w:tc>
      </w:tr>
      <w:tr w:rsidR="008503EB" w:rsidRPr="00EC7458" w:rsidTr="003965B0">
        <w:tc>
          <w:tcPr>
            <w:tcW w:w="298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- Return on equity (ROE) (From July 1 of the previous year to June 30 of the following year)</w:t>
            </w:r>
          </w:p>
        </w:tc>
        <w:tc>
          <w:tcPr>
            <w:tcW w:w="999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4.7%</w:t>
            </w:r>
          </w:p>
        </w:tc>
        <w:tc>
          <w:tcPr>
            <w:tcW w:w="101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2.7%</w:t>
            </w:r>
          </w:p>
        </w:tc>
      </w:tr>
      <w:tr w:rsidR="008503EB" w:rsidRPr="00EC7458" w:rsidTr="003965B0">
        <w:tc>
          <w:tcPr>
            <w:tcW w:w="29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- Capital adequacy rate according to specialized laws</w:t>
            </w:r>
          </w:p>
        </w:tc>
        <w:tc>
          <w:tcPr>
            <w:tcW w:w="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Not applicable</w:t>
            </w:r>
          </w:p>
        </w:tc>
        <w:tc>
          <w:tcPr>
            <w:tcW w:w="10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503EB" w:rsidRPr="00EC7458" w:rsidRDefault="00EC7458" w:rsidP="0039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C7458">
              <w:rPr>
                <w:rFonts w:ascii="Arial" w:hAnsi="Arial" w:cs="Arial"/>
                <w:color w:val="010000"/>
                <w:sz w:val="20"/>
              </w:rPr>
              <w:t>Not applicable</w:t>
            </w:r>
          </w:p>
        </w:tc>
      </w:tr>
    </w:tbl>
    <w:p w:rsidR="008503EB" w:rsidRPr="00EC7458" w:rsidRDefault="008503EB" w:rsidP="003965B0">
      <w:p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8503EB" w:rsidRPr="00EC7458" w:rsidSect="003965B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0361"/>
    <w:multiLevelType w:val="multilevel"/>
    <w:tmpl w:val="A5AEA58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EB"/>
    <w:rsid w:val="001643ED"/>
    <w:rsid w:val="003965B0"/>
    <w:rsid w:val="005E107D"/>
    <w:rsid w:val="00650C83"/>
    <w:rsid w:val="007834CA"/>
    <w:rsid w:val="008503EB"/>
    <w:rsid w:val="00CE57B6"/>
    <w:rsid w:val="00E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F53BEF-D19D-4F5A-B8C6-16949F76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DF4E64"/>
      <w:sz w:val="17"/>
      <w:szCs w:val="17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54" w:lineRule="auto"/>
      <w:jc w:val="right"/>
    </w:pPr>
    <w:rPr>
      <w:rFonts w:ascii="Arial" w:eastAsia="Arial" w:hAnsi="Arial" w:cs="Arial"/>
      <w:b/>
      <w:bCs/>
      <w:color w:val="DF4E64"/>
      <w:sz w:val="17"/>
      <w:szCs w:val="17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Normal"/>
    <w:link w:val="Other"/>
    <w:pPr>
      <w:spacing w:line="26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28iy27NuzK2AcE7uxPP5fcjsLQ==">CgMxLjA4AHIhMUM5dUdSWVN1RnhYcy1FN1VyYTc2bEF5bDcwTF9xZGkx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10</cp:revision>
  <dcterms:created xsi:type="dcterms:W3CDTF">2024-08-22T03:56:00Z</dcterms:created>
  <dcterms:modified xsi:type="dcterms:W3CDTF">2024-08-23T04:29:00Z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30871cf40a29498a1c841bff30e73949838d57202f185bf3b2c28aa5bfa4025c</vt:lpwstr>
  </property>
</Properties>
</file>