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918A0" w:rsidRPr="000C01EE" w:rsidRDefault="000C01EE" w:rsidP="000C01EE">
      <w:pPr>
        <w:keepNext/>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bookmarkStart w:id="0" w:name="_GoBack"/>
      <w:bookmarkEnd w:id="0"/>
      <w:r w:rsidRPr="000C01EE">
        <w:rPr>
          <w:rFonts w:ascii="Arial" w:hAnsi="Arial" w:cs="Arial"/>
          <w:b/>
          <w:color w:val="010000"/>
          <w:sz w:val="20"/>
        </w:rPr>
        <w:t>RCD: Annual General Mandate 2024</w:t>
      </w:r>
    </w:p>
    <w:p w14:paraId="00000002" w14:textId="6EE0471F" w:rsidR="00B918A0" w:rsidRPr="000C01EE" w:rsidRDefault="000C01EE" w:rsidP="000C01EE">
      <w:pPr>
        <w:keepNext/>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C01EE">
        <w:rPr>
          <w:rFonts w:ascii="Arial" w:hAnsi="Arial" w:cs="Arial"/>
          <w:color w:val="010000"/>
          <w:sz w:val="20"/>
        </w:rPr>
        <w:t>On August 17, 2024, Rubber real estate construction joint stock company announced General Mandate No. 170824/NQ/DHDCD-DOCS as follows:</w:t>
      </w:r>
    </w:p>
    <w:p w14:paraId="00000003" w14:textId="60E6E90F" w:rsidR="00B918A0" w:rsidRPr="000C01EE" w:rsidRDefault="000C01EE" w:rsidP="000C01EE">
      <w:pPr>
        <w:numPr>
          <w:ilvl w:val="0"/>
          <w:numId w:val="1"/>
        </w:numPr>
        <w:pBdr>
          <w:top w:val="nil"/>
          <w:left w:val="nil"/>
          <w:bottom w:val="nil"/>
          <w:right w:val="nil"/>
          <w:between w:val="nil"/>
        </w:pBdr>
        <w:tabs>
          <w:tab w:val="left" w:pos="432"/>
          <w:tab w:val="left" w:pos="1644"/>
        </w:tabs>
        <w:spacing w:after="120" w:line="360" w:lineRule="auto"/>
        <w:rPr>
          <w:rFonts w:ascii="Arial" w:eastAsia="Arial" w:hAnsi="Arial" w:cs="Arial"/>
          <w:color w:val="010000"/>
          <w:sz w:val="20"/>
          <w:szCs w:val="20"/>
        </w:rPr>
      </w:pPr>
      <w:r w:rsidRPr="000C01EE">
        <w:rPr>
          <w:rFonts w:ascii="Arial" w:hAnsi="Arial" w:cs="Arial"/>
          <w:color w:val="010000"/>
          <w:sz w:val="20"/>
        </w:rPr>
        <w:t>‎‎Article 1. Approve the report of the Board of Directors, the report of the Board of Management, the Financial Statements, the results of production and business activities in 2023, and the business plan in 2024, the main targets are as follows:</w:t>
      </w:r>
    </w:p>
    <w:p w14:paraId="00000004" w14:textId="77777777" w:rsidR="00B918A0" w:rsidRPr="000C01EE" w:rsidRDefault="000C01EE" w:rsidP="000C01EE">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C01EE">
        <w:rPr>
          <w:rFonts w:ascii="Arial" w:hAnsi="Arial" w:cs="Arial"/>
          <w:color w:val="010000"/>
          <w:sz w:val="20"/>
        </w:rPr>
        <w:t>Revenue from sales of goods and services provision: VND540,000,000</w:t>
      </w:r>
    </w:p>
    <w:p w14:paraId="00000005" w14:textId="77777777" w:rsidR="00B918A0" w:rsidRPr="000C01EE" w:rsidRDefault="000C01EE" w:rsidP="000C01EE">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C01EE">
        <w:rPr>
          <w:rFonts w:ascii="Arial" w:hAnsi="Arial" w:cs="Arial"/>
          <w:color w:val="010000"/>
          <w:sz w:val="20"/>
        </w:rPr>
        <w:t>Revenue from financial activities: VND142,247,773</w:t>
      </w:r>
    </w:p>
    <w:p w14:paraId="00000006" w14:textId="77777777" w:rsidR="00B918A0" w:rsidRPr="000C01EE" w:rsidRDefault="000C01EE" w:rsidP="000C01EE">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C01EE">
        <w:rPr>
          <w:rFonts w:ascii="Arial" w:hAnsi="Arial" w:cs="Arial"/>
          <w:color w:val="010000"/>
          <w:sz w:val="20"/>
        </w:rPr>
        <w:t>Profit after tax: VND4,618,435</w:t>
      </w:r>
    </w:p>
    <w:p w14:paraId="00000007" w14:textId="77777777" w:rsidR="00B918A0" w:rsidRPr="000C01EE" w:rsidRDefault="000C01EE" w:rsidP="000C01EE">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C01EE">
        <w:rPr>
          <w:rFonts w:ascii="Arial" w:hAnsi="Arial" w:cs="Arial"/>
          <w:color w:val="010000"/>
          <w:sz w:val="20"/>
        </w:rPr>
        <w:t>Total salary fund: VND0</w:t>
      </w:r>
    </w:p>
    <w:p w14:paraId="00000008" w14:textId="77777777" w:rsidR="00B918A0" w:rsidRPr="000C01EE" w:rsidRDefault="000C01EE" w:rsidP="000C01EE">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C01EE">
        <w:rPr>
          <w:rFonts w:ascii="Arial" w:hAnsi="Arial" w:cs="Arial"/>
          <w:color w:val="010000"/>
          <w:sz w:val="20"/>
        </w:rPr>
        <w:t>Key highlights of production and business results 2023:</w:t>
      </w:r>
    </w:p>
    <w:p w14:paraId="00000009" w14:textId="77777777" w:rsidR="00B918A0" w:rsidRPr="000C01EE" w:rsidRDefault="000C01EE" w:rsidP="000C01EE">
      <w:pPr>
        <w:numPr>
          <w:ilvl w:val="0"/>
          <w:numId w:val="2"/>
        </w:numPr>
        <w:pBdr>
          <w:top w:val="nil"/>
          <w:left w:val="nil"/>
          <w:bottom w:val="nil"/>
          <w:right w:val="nil"/>
          <w:between w:val="nil"/>
        </w:pBdr>
        <w:tabs>
          <w:tab w:val="left" w:pos="432"/>
          <w:tab w:val="left" w:pos="1922"/>
        </w:tabs>
        <w:spacing w:after="120" w:line="360" w:lineRule="auto"/>
        <w:rPr>
          <w:rFonts w:ascii="Arial" w:eastAsia="Arial" w:hAnsi="Arial" w:cs="Arial"/>
          <w:color w:val="010000"/>
          <w:sz w:val="20"/>
          <w:szCs w:val="20"/>
        </w:rPr>
      </w:pPr>
      <w:r w:rsidRPr="000C01EE">
        <w:rPr>
          <w:rFonts w:ascii="Arial" w:hAnsi="Arial" w:cs="Arial"/>
          <w:color w:val="010000"/>
          <w:sz w:val="20"/>
        </w:rPr>
        <w:t>Construction contracting: stop working</w:t>
      </w:r>
    </w:p>
    <w:p w14:paraId="0000000A" w14:textId="77777777" w:rsidR="00B918A0" w:rsidRPr="000C01EE" w:rsidRDefault="000C01EE" w:rsidP="000C01EE">
      <w:pPr>
        <w:numPr>
          <w:ilvl w:val="0"/>
          <w:numId w:val="2"/>
        </w:numPr>
        <w:pBdr>
          <w:top w:val="nil"/>
          <w:left w:val="nil"/>
          <w:bottom w:val="nil"/>
          <w:right w:val="nil"/>
          <w:between w:val="nil"/>
        </w:pBdr>
        <w:tabs>
          <w:tab w:val="left" w:pos="432"/>
          <w:tab w:val="left" w:pos="1926"/>
        </w:tabs>
        <w:spacing w:after="120" w:line="360" w:lineRule="auto"/>
        <w:rPr>
          <w:rFonts w:ascii="Arial" w:eastAsia="Arial" w:hAnsi="Arial" w:cs="Arial"/>
          <w:color w:val="010000"/>
          <w:sz w:val="20"/>
          <w:szCs w:val="20"/>
        </w:rPr>
      </w:pPr>
      <w:r w:rsidRPr="000C01EE">
        <w:rPr>
          <w:rFonts w:ascii="Arial" w:hAnsi="Arial" w:cs="Arial"/>
          <w:color w:val="010000"/>
          <w:sz w:val="20"/>
        </w:rPr>
        <w:t>Design survey consultancy: stop working</w:t>
      </w:r>
    </w:p>
    <w:p w14:paraId="0000000B" w14:textId="77777777" w:rsidR="00B918A0" w:rsidRPr="000C01EE" w:rsidRDefault="000C01EE" w:rsidP="000C01EE">
      <w:pPr>
        <w:numPr>
          <w:ilvl w:val="0"/>
          <w:numId w:val="2"/>
        </w:numPr>
        <w:pBdr>
          <w:top w:val="nil"/>
          <w:left w:val="nil"/>
          <w:bottom w:val="nil"/>
          <w:right w:val="nil"/>
          <w:between w:val="nil"/>
        </w:pBdr>
        <w:tabs>
          <w:tab w:val="left" w:pos="432"/>
          <w:tab w:val="left" w:pos="1926"/>
        </w:tabs>
        <w:spacing w:after="120" w:line="360" w:lineRule="auto"/>
        <w:rPr>
          <w:rFonts w:ascii="Arial" w:eastAsia="Arial" w:hAnsi="Arial" w:cs="Arial"/>
          <w:color w:val="010000"/>
          <w:sz w:val="20"/>
          <w:szCs w:val="20"/>
        </w:rPr>
      </w:pPr>
      <w:r w:rsidRPr="000C01EE">
        <w:rPr>
          <w:rFonts w:ascii="Arial" w:hAnsi="Arial" w:cs="Arial"/>
          <w:color w:val="010000"/>
          <w:sz w:val="20"/>
        </w:rPr>
        <w:t>Investment, financial business: stop working</w:t>
      </w:r>
    </w:p>
    <w:p w14:paraId="0000000C" w14:textId="13C14CE0" w:rsidR="00B918A0" w:rsidRPr="000C01EE" w:rsidRDefault="000C01EE" w:rsidP="000C01EE">
      <w:pPr>
        <w:numPr>
          <w:ilvl w:val="0"/>
          <w:numId w:val="2"/>
        </w:numPr>
        <w:pBdr>
          <w:top w:val="nil"/>
          <w:left w:val="nil"/>
          <w:bottom w:val="nil"/>
          <w:right w:val="nil"/>
          <w:between w:val="nil"/>
        </w:pBdr>
        <w:tabs>
          <w:tab w:val="left" w:pos="432"/>
          <w:tab w:val="left" w:pos="1986"/>
        </w:tabs>
        <w:spacing w:after="120" w:line="360" w:lineRule="auto"/>
        <w:rPr>
          <w:rFonts w:ascii="Arial" w:eastAsia="Arial" w:hAnsi="Arial" w:cs="Arial"/>
          <w:color w:val="010000"/>
          <w:sz w:val="20"/>
          <w:szCs w:val="20"/>
        </w:rPr>
      </w:pPr>
      <w:r w:rsidRPr="000C01EE">
        <w:rPr>
          <w:rFonts w:ascii="Arial" w:hAnsi="Arial" w:cs="Arial"/>
          <w:color w:val="010000"/>
          <w:sz w:val="20"/>
        </w:rPr>
        <w:t>General assessment: Production activities in the fields of the Company are almost inactive, so the targets in 2023 are not as planned. The company has tried to resolve social insurance and minimum wage regimes, reduce working hours, and create conditions for employees to find suitable jobs with more stable incomes.</w:t>
      </w:r>
    </w:p>
    <w:p w14:paraId="0000000D" w14:textId="77777777" w:rsidR="00B918A0" w:rsidRPr="000C01EE" w:rsidRDefault="000C01EE" w:rsidP="000C01EE">
      <w:pPr>
        <w:numPr>
          <w:ilvl w:val="0"/>
          <w:numId w:val="1"/>
        </w:numPr>
        <w:pBdr>
          <w:top w:val="nil"/>
          <w:left w:val="nil"/>
          <w:bottom w:val="nil"/>
          <w:right w:val="nil"/>
          <w:between w:val="nil"/>
        </w:pBdr>
        <w:tabs>
          <w:tab w:val="left" w:pos="432"/>
          <w:tab w:val="left" w:pos="1875"/>
        </w:tabs>
        <w:spacing w:after="120" w:line="360" w:lineRule="auto"/>
        <w:rPr>
          <w:rFonts w:ascii="Arial" w:eastAsia="Arial" w:hAnsi="Arial" w:cs="Arial"/>
          <w:color w:val="010000"/>
          <w:sz w:val="20"/>
          <w:szCs w:val="20"/>
        </w:rPr>
      </w:pPr>
      <w:r w:rsidRPr="000C01EE">
        <w:rPr>
          <w:rFonts w:ascii="Arial" w:hAnsi="Arial" w:cs="Arial"/>
          <w:color w:val="010000"/>
          <w:sz w:val="20"/>
        </w:rPr>
        <w:t>‎‎Article 2. Approve the Report of the Supervisory Board in 2023.</w:t>
      </w:r>
    </w:p>
    <w:p w14:paraId="0000000E" w14:textId="68678EFC" w:rsidR="00B918A0" w:rsidRPr="000C01EE" w:rsidRDefault="000C01EE" w:rsidP="000C01EE">
      <w:pPr>
        <w:numPr>
          <w:ilvl w:val="0"/>
          <w:numId w:val="1"/>
        </w:numPr>
        <w:pBdr>
          <w:top w:val="nil"/>
          <w:left w:val="nil"/>
          <w:bottom w:val="nil"/>
          <w:right w:val="nil"/>
          <w:between w:val="nil"/>
        </w:pBdr>
        <w:tabs>
          <w:tab w:val="left" w:pos="432"/>
          <w:tab w:val="left" w:pos="1875"/>
        </w:tabs>
        <w:spacing w:after="120" w:line="360" w:lineRule="auto"/>
        <w:rPr>
          <w:rFonts w:ascii="Arial" w:eastAsia="Arial" w:hAnsi="Arial" w:cs="Arial"/>
          <w:color w:val="010000"/>
          <w:sz w:val="20"/>
          <w:szCs w:val="20"/>
        </w:rPr>
      </w:pPr>
      <w:r w:rsidRPr="000C01EE">
        <w:rPr>
          <w:rFonts w:ascii="Arial" w:hAnsi="Arial" w:cs="Arial"/>
          <w:color w:val="010000"/>
          <w:sz w:val="20"/>
        </w:rPr>
        <w:t>‎‎Article 3. Approve Proposal No.01/TTr/HDQT-DOCS on temporarily suspending the operations of the Company to resolve outstanding issues, and possibly dissolve the Company to preserve capital for shareholders.</w:t>
      </w:r>
    </w:p>
    <w:p w14:paraId="0000000F" w14:textId="73E2D384" w:rsidR="00B918A0" w:rsidRPr="000C01EE" w:rsidRDefault="000C01EE" w:rsidP="000C01EE">
      <w:pPr>
        <w:numPr>
          <w:ilvl w:val="0"/>
          <w:numId w:val="1"/>
        </w:numPr>
        <w:pBdr>
          <w:top w:val="nil"/>
          <w:left w:val="nil"/>
          <w:bottom w:val="nil"/>
          <w:right w:val="nil"/>
          <w:between w:val="nil"/>
        </w:pBdr>
        <w:tabs>
          <w:tab w:val="left" w:pos="432"/>
          <w:tab w:val="left" w:pos="1875"/>
        </w:tabs>
        <w:spacing w:after="120" w:line="360" w:lineRule="auto"/>
        <w:rPr>
          <w:rFonts w:ascii="Arial" w:eastAsia="Arial" w:hAnsi="Arial" w:cs="Arial"/>
          <w:color w:val="010000"/>
          <w:sz w:val="20"/>
          <w:szCs w:val="20"/>
        </w:rPr>
      </w:pPr>
      <w:r w:rsidRPr="000C01EE">
        <w:rPr>
          <w:rFonts w:ascii="Arial" w:hAnsi="Arial" w:cs="Arial"/>
          <w:color w:val="010000"/>
          <w:sz w:val="20"/>
        </w:rPr>
        <w:t>‎‎Article 4. Approve Proposal No.02/TTr/HDQT-DOCS on moving the Company office from 236 Nam Ky Khoi Nghia, Vo Thi Sau Ward, District 3, City. HCM to address 235/46 Nam Ky Khoi Nghia, Ward Vo Thi Sau, District 3, Ho Chi Minh City.</w:t>
      </w:r>
    </w:p>
    <w:p w14:paraId="00000010" w14:textId="25EDCC01" w:rsidR="00B918A0" w:rsidRPr="000C01EE" w:rsidRDefault="000C01EE" w:rsidP="000C01EE">
      <w:pPr>
        <w:numPr>
          <w:ilvl w:val="0"/>
          <w:numId w:val="1"/>
        </w:numPr>
        <w:pBdr>
          <w:top w:val="nil"/>
          <w:left w:val="nil"/>
          <w:bottom w:val="nil"/>
          <w:right w:val="nil"/>
          <w:between w:val="nil"/>
        </w:pBdr>
        <w:tabs>
          <w:tab w:val="left" w:pos="432"/>
          <w:tab w:val="left" w:pos="1875"/>
        </w:tabs>
        <w:spacing w:after="120" w:line="360" w:lineRule="auto"/>
        <w:rPr>
          <w:rFonts w:ascii="Arial" w:eastAsia="Arial" w:hAnsi="Arial" w:cs="Arial"/>
          <w:color w:val="010000"/>
          <w:sz w:val="20"/>
          <w:szCs w:val="20"/>
        </w:rPr>
      </w:pPr>
      <w:r w:rsidRPr="000C01EE">
        <w:rPr>
          <w:rFonts w:ascii="Arial" w:hAnsi="Arial" w:cs="Arial"/>
          <w:color w:val="010000"/>
          <w:sz w:val="20"/>
        </w:rPr>
        <w:t>‎‎Article 5. Approve the opinion of Mr. Tran Xuan Chuong - the General Manager of the Company: Assign the Board of Directors to decide on the business plan (including sale and selling price) of house No. 785, National Highway 13, Ward 3, Hiep Binh Phuoc Ward, Thu Duc District (now Thu Duc City), Ho Chi Minh City.</w:t>
      </w:r>
    </w:p>
    <w:p w14:paraId="00000011" w14:textId="77777777" w:rsidR="00B918A0" w:rsidRPr="000C01EE" w:rsidRDefault="000C01EE" w:rsidP="000C01EE">
      <w:pPr>
        <w:numPr>
          <w:ilvl w:val="0"/>
          <w:numId w:val="1"/>
        </w:numPr>
        <w:pBdr>
          <w:top w:val="nil"/>
          <w:left w:val="nil"/>
          <w:bottom w:val="nil"/>
          <w:right w:val="nil"/>
          <w:between w:val="nil"/>
        </w:pBdr>
        <w:tabs>
          <w:tab w:val="left" w:pos="432"/>
          <w:tab w:val="left" w:pos="1703"/>
        </w:tabs>
        <w:spacing w:after="120" w:line="360" w:lineRule="auto"/>
        <w:rPr>
          <w:rFonts w:ascii="Arial" w:eastAsia="Arial" w:hAnsi="Arial" w:cs="Arial"/>
          <w:color w:val="010000"/>
          <w:sz w:val="20"/>
          <w:szCs w:val="20"/>
        </w:rPr>
      </w:pPr>
      <w:r w:rsidRPr="000C01EE">
        <w:rPr>
          <w:rFonts w:ascii="Arial" w:hAnsi="Arial" w:cs="Arial"/>
          <w:color w:val="010000"/>
          <w:sz w:val="20"/>
        </w:rPr>
        <w:t>‎‎Article 6. Terms of enforcement:</w:t>
      </w:r>
    </w:p>
    <w:p w14:paraId="00000012" w14:textId="77777777" w:rsidR="00B918A0" w:rsidRPr="000C01EE" w:rsidRDefault="000C01EE" w:rsidP="000C01EE">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C01EE">
        <w:rPr>
          <w:rFonts w:ascii="Arial" w:hAnsi="Arial" w:cs="Arial"/>
          <w:color w:val="010000"/>
          <w:sz w:val="20"/>
        </w:rPr>
        <w:t>The second Annual General Mandate in 2024 of Rubber real estate construction joint stock company, effective from August 17, 2024, all shareholders of the Company, members of the Board of Directors, and members of the Supervisory Board, are responsible for implementing this Resolution.</w:t>
      </w:r>
    </w:p>
    <w:p w14:paraId="00000013" w14:textId="77777777" w:rsidR="00B918A0" w:rsidRPr="000C01EE" w:rsidRDefault="000C01EE" w:rsidP="000C01EE">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0C01EE">
        <w:rPr>
          <w:rFonts w:ascii="Arial" w:hAnsi="Arial" w:cs="Arial"/>
          <w:color w:val="010000"/>
          <w:sz w:val="20"/>
        </w:rPr>
        <w:t xml:space="preserve">The 2nd Annual General Meeting of Shareholders 2024 assigned the Board of Directors of the </w:t>
      </w:r>
      <w:r w:rsidRPr="000C01EE">
        <w:rPr>
          <w:rFonts w:ascii="Arial" w:hAnsi="Arial" w:cs="Arial"/>
          <w:color w:val="010000"/>
          <w:sz w:val="20"/>
        </w:rPr>
        <w:lastRenderedPageBreak/>
        <w:t>Company to propose solutions and organize implementation to achieve the contents set out by the Meeting.</w:t>
      </w:r>
    </w:p>
    <w:sectPr w:rsidR="00B918A0" w:rsidRPr="000C01EE" w:rsidSect="000C01EE">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54F1C"/>
    <w:multiLevelType w:val="multilevel"/>
    <w:tmpl w:val="3F920FBC"/>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40A4918"/>
    <w:multiLevelType w:val="multilevel"/>
    <w:tmpl w:val="E2A42F90"/>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8A0"/>
    <w:rsid w:val="000C01EE"/>
    <w:rsid w:val="007D0DF5"/>
    <w:rsid w:val="00B91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493772"/>
  <w15:docId w15:val="{B0A92890-5B06-4A26-B4B0-6D11BE67E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3">
    <w:name w:val="Văn bản nội dung (3)_"/>
    <w:basedOn w:val="DefaultParagraphFont"/>
    <w:link w:val="Vnbnnidung30"/>
    <w:rPr>
      <w:rFonts w:ascii="Arial" w:eastAsia="Arial" w:hAnsi="Arial" w:cs="Arial"/>
      <w:b/>
      <w:bCs/>
      <w:i w:val="0"/>
      <w:iCs w:val="0"/>
      <w:smallCaps w:val="0"/>
      <w:strike w:val="0"/>
      <w:color w:val="9D1E48"/>
      <w:sz w:val="17"/>
      <w:szCs w:val="17"/>
      <w:u w:val="none"/>
      <w:shd w:val="clear" w:color="auto" w:fill="auto"/>
    </w:rPr>
  </w:style>
  <w:style w:type="character" w:customStyle="1" w:styleId="Vnbnnidung5">
    <w:name w:val="Văn bản nội dung (5)_"/>
    <w:basedOn w:val="DefaultParagraphFont"/>
    <w:link w:val="Vnbnnidung50"/>
    <w:rPr>
      <w:rFonts w:ascii="Arial" w:eastAsia="Arial" w:hAnsi="Arial" w:cs="Arial"/>
      <w:b w:val="0"/>
      <w:bCs w:val="0"/>
      <w:i w:val="0"/>
      <w:iCs w:val="0"/>
      <w:smallCaps/>
      <w:strike w:val="0"/>
      <w:color w:val="C53B6C"/>
      <w:sz w:val="40"/>
      <w:szCs w:val="40"/>
      <w:u w:val="none"/>
      <w:shd w:val="clear" w:color="auto" w:fill="auto"/>
    </w:rPr>
  </w:style>
  <w:style w:type="character" w:customStyle="1" w:styleId="Vnbnnidung6">
    <w:name w:val="Văn bản nội dung (6)_"/>
    <w:basedOn w:val="DefaultParagraphFont"/>
    <w:link w:val="Vnbnnidung60"/>
    <w:rPr>
      <w:rFonts w:ascii="Arial" w:eastAsia="Arial" w:hAnsi="Arial" w:cs="Arial"/>
      <w:b w:val="0"/>
      <w:bCs w:val="0"/>
      <w:i w:val="0"/>
      <w:iCs w:val="0"/>
      <w:smallCaps w:val="0"/>
      <w:strike w:val="0"/>
      <w:sz w:val="20"/>
      <w:szCs w:val="2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val="0"/>
      <w:iCs w:val="0"/>
      <w:smallCaps w:val="0"/>
      <w:strike w:val="0"/>
      <w:color w:val="FF0000"/>
      <w:sz w:val="10"/>
      <w:szCs w:val="1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color w:val="FF0000"/>
      <w:sz w:val="15"/>
      <w:szCs w:val="15"/>
      <w:u w:val="none"/>
      <w:shd w:val="clear" w:color="auto" w:fill="auto"/>
    </w:rPr>
  </w:style>
  <w:style w:type="paragraph" w:customStyle="1" w:styleId="Vnbnnidung0">
    <w:name w:val="Văn bản nội dung"/>
    <w:basedOn w:val="Normal"/>
    <w:link w:val="Vnbnnidung"/>
    <w:pPr>
      <w:spacing w:line="288" w:lineRule="auto"/>
    </w:pPr>
    <w:rPr>
      <w:rFonts w:ascii="Times New Roman" w:eastAsia="Times New Roman" w:hAnsi="Times New Roman" w:cs="Times New Roman"/>
    </w:rPr>
  </w:style>
  <w:style w:type="paragraph" w:customStyle="1" w:styleId="Vnbnnidung30">
    <w:name w:val="Văn bản nội dung (3)"/>
    <w:basedOn w:val="Normal"/>
    <w:link w:val="Vnbnnidung3"/>
    <w:pPr>
      <w:spacing w:line="281" w:lineRule="auto"/>
    </w:pPr>
    <w:rPr>
      <w:rFonts w:ascii="Arial" w:eastAsia="Arial" w:hAnsi="Arial" w:cs="Arial"/>
      <w:b/>
      <w:bCs/>
      <w:color w:val="9D1E48"/>
      <w:sz w:val="17"/>
      <w:szCs w:val="17"/>
    </w:rPr>
  </w:style>
  <w:style w:type="paragraph" w:customStyle="1" w:styleId="Vnbnnidung50">
    <w:name w:val="Văn bản nội dung (5)"/>
    <w:basedOn w:val="Normal"/>
    <w:link w:val="Vnbnnidung5"/>
    <w:pPr>
      <w:spacing w:line="180" w:lineRule="auto"/>
      <w:ind w:firstLine="360"/>
    </w:pPr>
    <w:rPr>
      <w:rFonts w:ascii="Arial" w:eastAsia="Arial" w:hAnsi="Arial" w:cs="Arial"/>
      <w:smallCaps/>
      <w:color w:val="C53B6C"/>
      <w:sz w:val="40"/>
      <w:szCs w:val="40"/>
    </w:rPr>
  </w:style>
  <w:style w:type="paragraph" w:customStyle="1" w:styleId="Vnbnnidung60">
    <w:name w:val="Văn bản nội dung (6)"/>
    <w:basedOn w:val="Normal"/>
    <w:link w:val="Vnbnnidung6"/>
    <w:pPr>
      <w:jc w:val="right"/>
    </w:pPr>
    <w:rPr>
      <w:rFonts w:ascii="Arial" w:eastAsia="Arial" w:hAnsi="Arial" w:cs="Arial"/>
      <w:sz w:val="20"/>
      <w:szCs w:val="20"/>
    </w:rPr>
  </w:style>
  <w:style w:type="paragraph" w:customStyle="1" w:styleId="Tiu10">
    <w:name w:val="Tiêu đề #1"/>
    <w:basedOn w:val="Normal"/>
    <w:link w:val="Tiu1"/>
    <w:pPr>
      <w:spacing w:line="283" w:lineRule="auto"/>
      <w:ind w:left="2320" w:hanging="310"/>
      <w:outlineLvl w:val="0"/>
    </w:pPr>
    <w:rPr>
      <w:rFonts w:ascii="Times New Roman" w:eastAsia="Times New Roman" w:hAnsi="Times New Roman" w:cs="Times New Roman"/>
      <w:b/>
      <w:bCs/>
      <w:sz w:val="30"/>
      <w:szCs w:val="30"/>
    </w:rPr>
  </w:style>
  <w:style w:type="paragraph" w:customStyle="1" w:styleId="Vnbnnidung40">
    <w:name w:val="Văn bản nội dung (4)"/>
    <w:basedOn w:val="Normal"/>
    <w:link w:val="Vnbnnidung4"/>
    <w:rPr>
      <w:rFonts w:ascii="Times New Roman" w:eastAsia="Times New Roman" w:hAnsi="Times New Roman" w:cs="Times New Roman"/>
      <w:color w:val="FF0000"/>
      <w:sz w:val="10"/>
      <w:szCs w:val="10"/>
    </w:rPr>
  </w:style>
  <w:style w:type="paragraph" w:customStyle="1" w:styleId="Vnbnnidung20">
    <w:name w:val="Văn bản nội dung (2)"/>
    <w:basedOn w:val="Normal"/>
    <w:link w:val="Vnbnnidung2"/>
    <w:pPr>
      <w:spacing w:line="223" w:lineRule="auto"/>
    </w:pPr>
    <w:rPr>
      <w:rFonts w:ascii="Times New Roman" w:eastAsia="Times New Roman" w:hAnsi="Times New Roman" w:cs="Times New Roman"/>
      <w:color w:val="FF0000"/>
      <w:sz w:val="15"/>
      <w:szCs w:val="15"/>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Z6pTAP6MXuAvKLkFzIeCQ7x4ww==">CgMxLjA4AHIhMWRmVnpkakx3Rlo4WDhyUVVUeVNlbHBqUngtN09zcUZy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2024-08-23T03:23:00Z</dcterms:created>
  <dcterms:modified xsi:type="dcterms:W3CDTF">2024-08-23T03:23:00Z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26376fe21fd5d7d7e080164826d7563741983b2531c5295dc719c3f68923a04a</vt:lpwstr>
  </property>
</Properties>
</file>