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25673" w:rsidRPr="00511517" w:rsidRDefault="00511517" w:rsidP="006C0596">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GoBack"/>
      <w:r w:rsidRPr="00511517">
        <w:rPr>
          <w:rFonts w:ascii="Arial" w:hAnsi="Arial" w:cs="Arial"/>
          <w:b/>
          <w:bCs/>
          <w:color w:val="010000"/>
          <w:sz w:val="20"/>
        </w:rPr>
        <w:t>BVB122028:</w:t>
      </w:r>
      <w:r w:rsidRPr="00511517">
        <w:rPr>
          <w:rFonts w:ascii="Arial" w:hAnsi="Arial" w:cs="Arial"/>
          <w:b/>
          <w:color w:val="010000"/>
          <w:sz w:val="20"/>
        </w:rPr>
        <w:t xml:space="preserve"> Board Resolution</w:t>
      </w:r>
    </w:p>
    <w:p w14:paraId="00000002" w14:textId="1B03A12C" w:rsidR="00525673" w:rsidRPr="00511517" w:rsidRDefault="00511517" w:rsidP="006C059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11517">
        <w:rPr>
          <w:rFonts w:ascii="Arial" w:hAnsi="Arial" w:cs="Arial"/>
          <w:color w:val="010000"/>
          <w:sz w:val="20"/>
        </w:rPr>
        <w:t xml:space="preserve">On August 22, 2024, </w:t>
      </w:r>
      <w:r w:rsidR="00DC0096" w:rsidRPr="00511517">
        <w:rPr>
          <w:rFonts w:ascii="Arial" w:hAnsi="Arial" w:cs="Arial"/>
          <w:color w:val="010000"/>
          <w:sz w:val="20"/>
        </w:rPr>
        <w:t xml:space="preserve">Viet Capital Bank </w:t>
      </w:r>
      <w:r w:rsidRPr="00511517">
        <w:rPr>
          <w:rFonts w:ascii="Arial" w:hAnsi="Arial" w:cs="Arial"/>
          <w:color w:val="010000"/>
          <w:sz w:val="20"/>
        </w:rPr>
        <w:t xml:space="preserve">announced Resolution </w:t>
      </w:r>
      <w:r w:rsidR="00DC0096" w:rsidRPr="00511517">
        <w:rPr>
          <w:rFonts w:ascii="Arial" w:hAnsi="Arial" w:cs="Arial"/>
          <w:color w:val="010000"/>
          <w:sz w:val="20"/>
        </w:rPr>
        <w:t xml:space="preserve">No. </w:t>
      </w:r>
      <w:r w:rsidRPr="00511517">
        <w:rPr>
          <w:rFonts w:ascii="Arial" w:hAnsi="Arial" w:cs="Arial"/>
          <w:color w:val="010000"/>
          <w:sz w:val="20"/>
        </w:rPr>
        <w:t>107/24/BVBank/NQ-HDQT on approving the results of the share issuance from the source of owners’ equity with the rate of 10% as follows:</w:t>
      </w:r>
    </w:p>
    <w:p w14:paraId="00000003" w14:textId="77777777" w:rsidR="00525673" w:rsidRPr="00511517" w:rsidRDefault="00511517" w:rsidP="006C059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11517">
        <w:rPr>
          <w:rFonts w:ascii="Arial" w:hAnsi="Arial" w:cs="Arial"/>
          <w:color w:val="010000"/>
          <w:sz w:val="20"/>
        </w:rPr>
        <w:t>‎‎Article 1. Approve the results of share issuance to increase share capital from the source of owners’ equity with the rate of 10%, specifically as follows:</w:t>
      </w:r>
    </w:p>
    <w:p w14:paraId="00000004" w14:textId="77777777" w:rsidR="00525673" w:rsidRPr="00511517" w:rsidRDefault="00511517" w:rsidP="006C0596">
      <w:pPr>
        <w:widowControl/>
        <w:numPr>
          <w:ilvl w:val="0"/>
          <w:numId w:val="1"/>
        </w:numPr>
        <w:pBdr>
          <w:top w:val="nil"/>
          <w:left w:val="nil"/>
          <w:bottom w:val="nil"/>
          <w:right w:val="nil"/>
          <w:between w:val="nil"/>
        </w:pBdr>
        <w:tabs>
          <w:tab w:val="left" w:pos="432"/>
          <w:tab w:val="left" w:pos="4428"/>
        </w:tabs>
        <w:spacing w:after="120" w:line="360" w:lineRule="auto"/>
        <w:ind w:left="0" w:firstLine="0"/>
        <w:jc w:val="both"/>
        <w:rPr>
          <w:rFonts w:ascii="Arial" w:eastAsia="Arial" w:hAnsi="Arial" w:cs="Arial"/>
          <w:color w:val="010000"/>
          <w:sz w:val="20"/>
          <w:szCs w:val="20"/>
        </w:rPr>
      </w:pPr>
      <w:r w:rsidRPr="00511517">
        <w:rPr>
          <w:rFonts w:ascii="Arial" w:hAnsi="Arial" w:cs="Arial"/>
          <w:color w:val="010000"/>
          <w:sz w:val="20"/>
        </w:rPr>
        <w:t>Total number of distributed shares: 50,166,215 shares, of which:</w:t>
      </w:r>
    </w:p>
    <w:p w14:paraId="00000005" w14:textId="77777777" w:rsidR="00525673" w:rsidRPr="00511517" w:rsidRDefault="00511517" w:rsidP="006C0596">
      <w:pPr>
        <w:widowControl/>
        <w:numPr>
          <w:ilvl w:val="0"/>
          <w:numId w:val="2"/>
        </w:numPr>
        <w:pBdr>
          <w:top w:val="nil"/>
          <w:left w:val="nil"/>
          <w:bottom w:val="nil"/>
          <w:right w:val="nil"/>
          <w:between w:val="nil"/>
        </w:pBdr>
        <w:tabs>
          <w:tab w:val="left" w:pos="432"/>
          <w:tab w:val="left" w:pos="4428"/>
        </w:tabs>
        <w:spacing w:after="120" w:line="360" w:lineRule="auto"/>
        <w:ind w:left="0" w:firstLine="0"/>
        <w:jc w:val="both"/>
        <w:rPr>
          <w:rFonts w:ascii="Arial" w:eastAsia="Arial" w:hAnsi="Arial" w:cs="Arial"/>
          <w:color w:val="010000"/>
          <w:sz w:val="20"/>
          <w:szCs w:val="20"/>
        </w:rPr>
      </w:pPr>
      <w:r w:rsidRPr="00511517">
        <w:rPr>
          <w:rFonts w:ascii="Arial" w:hAnsi="Arial" w:cs="Arial"/>
          <w:color w:val="010000"/>
          <w:sz w:val="20"/>
        </w:rPr>
        <w:t>Number of shares distributed to shareholders according to the rate: 50,166,215 shares for 11,260 shareholders;</w:t>
      </w:r>
    </w:p>
    <w:p w14:paraId="00000006" w14:textId="72C99196" w:rsidR="00525673" w:rsidRPr="00511517" w:rsidRDefault="00511517" w:rsidP="006C0596">
      <w:pPr>
        <w:widowControl/>
        <w:numPr>
          <w:ilvl w:val="0"/>
          <w:numId w:val="2"/>
        </w:numPr>
        <w:pBdr>
          <w:top w:val="nil"/>
          <w:left w:val="nil"/>
          <w:bottom w:val="nil"/>
          <w:right w:val="nil"/>
          <w:between w:val="nil"/>
        </w:pBdr>
        <w:tabs>
          <w:tab w:val="left" w:pos="432"/>
          <w:tab w:val="left" w:pos="4428"/>
        </w:tabs>
        <w:spacing w:after="120" w:line="360" w:lineRule="auto"/>
        <w:ind w:left="0" w:firstLine="0"/>
        <w:jc w:val="both"/>
        <w:rPr>
          <w:rFonts w:ascii="Arial" w:eastAsia="Arial" w:hAnsi="Arial" w:cs="Arial"/>
          <w:color w:val="010000"/>
          <w:sz w:val="20"/>
          <w:szCs w:val="20"/>
        </w:rPr>
      </w:pPr>
      <w:r w:rsidRPr="00511517">
        <w:rPr>
          <w:rFonts w:ascii="Arial" w:hAnsi="Arial" w:cs="Arial"/>
          <w:color w:val="010000"/>
          <w:sz w:val="20"/>
        </w:rPr>
        <w:t>Number of fractional shares handled: 1,785 shares. (These shares will be canceled, according to the plan on handing fractional shares).</w:t>
      </w:r>
    </w:p>
    <w:p w14:paraId="00000007" w14:textId="77777777" w:rsidR="00525673" w:rsidRPr="00511517" w:rsidRDefault="00511517" w:rsidP="006C0596">
      <w:pPr>
        <w:widowControl/>
        <w:numPr>
          <w:ilvl w:val="0"/>
          <w:numId w:val="1"/>
        </w:numPr>
        <w:pBdr>
          <w:top w:val="nil"/>
          <w:left w:val="nil"/>
          <w:bottom w:val="nil"/>
          <w:right w:val="nil"/>
          <w:between w:val="nil"/>
        </w:pBdr>
        <w:tabs>
          <w:tab w:val="left" w:pos="432"/>
          <w:tab w:val="left" w:pos="4428"/>
        </w:tabs>
        <w:spacing w:after="120" w:line="360" w:lineRule="auto"/>
        <w:ind w:left="0" w:firstLine="0"/>
        <w:jc w:val="both"/>
        <w:rPr>
          <w:rFonts w:ascii="Arial" w:eastAsia="Arial" w:hAnsi="Arial" w:cs="Arial"/>
          <w:color w:val="010000"/>
          <w:sz w:val="20"/>
          <w:szCs w:val="20"/>
        </w:rPr>
      </w:pPr>
      <w:r w:rsidRPr="00511517">
        <w:rPr>
          <w:rFonts w:ascii="Arial" w:hAnsi="Arial" w:cs="Arial"/>
          <w:color w:val="010000"/>
          <w:sz w:val="20"/>
        </w:rPr>
        <w:t>Total number of shares after the issuance (August 16, 2024): 551,846,215 shares, of which:</w:t>
      </w:r>
    </w:p>
    <w:p w14:paraId="00000008" w14:textId="77777777" w:rsidR="00525673" w:rsidRPr="00511517" w:rsidRDefault="00511517" w:rsidP="006C0596">
      <w:pPr>
        <w:widowControl/>
        <w:numPr>
          <w:ilvl w:val="0"/>
          <w:numId w:val="3"/>
        </w:numPr>
        <w:pBdr>
          <w:top w:val="nil"/>
          <w:left w:val="nil"/>
          <w:bottom w:val="nil"/>
          <w:right w:val="nil"/>
          <w:between w:val="nil"/>
        </w:pBdr>
        <w:tabs>
          <w:tab w:val="left" w:pos="432"/>
          <w:tab w:val="left" w:pos="4428"/>
        </w:tabs>
        <w:spacing w:after="120" w:line="360" w:lineRule="auto"/>
        <w:ind w:left="0" w:firstLine="0"/>
        <w:jc w:val="both"/>
        <w:rPr>
          <w:rFonts w:ascii="Arial" w:eastAsia="Arial" w:hAnsi="Arial" w:cs="Arial"/>
          <w:color w:val="010000"/>
          <w:sz w:val="20"/>
          <w:szCs w:val="20"/>
        </w:rPr>
      </w:pPr>
      <w:r w:rsidRPr="00511517">
        <w:rPr>
          <w:rFonts w:ascii="Arial" w:hAnsi="Arial" w:cs="Arial"/>
          <w:color w:val="010000"/>
          <w:sz w:val="20"/>
        </w:rPr>
        <w:t>Number of outstanding shares: 551,846,215 shares;</w:t>
      </w:r>
    </w:p>
    <w:p w14:paraId="00000009" w14:textId="77777777" w:rsidR="00525673" w:rsidRPr="00511517" w:rsidRDefault="00511517" w:rsidP="006C0596">
      <w:pPr>
        <w:widowControl/>
        <w:numPr>
          <w:ilvl w:val="0"/>
          <w:numId w:val="3"/>
        </w:numPr>
        <w:pBdr>
          <w:top w:val="nil"/>
          <w:left w:val="nil"/>
          <w:bottom w:val="nil"/>
          <w:right w:val="nil"/>
          <w:between w:val="nil"/>
        </w:pBdr>
        <w:tabs>
          <w:tab w:val="left" w:pos="432"/>
          <w:tab w:val="left" w:pos="4428"/>
        </w:tabs>
        <w:spacing w:after="120" w:line="360" w:lineRule="auto"/>
        <w:ind w:left="0" w:firstLine="0"/>
        <w:jc w:val="both"/>
        <w:rPr>
          <w:rFonts w:ascii="Arial" w:eastAsia="Arial" w:hAnsi="Arial" w:cs="Arial"/>
          <w:color w:val="010000"/>
          <w:sz w:val="20"/>
          <w:szCs w:val="20"/>
        </w:rPr>
      </w:pPr>
      <w:r w:rsidRPr="00511517">
        <w:rPr>
          <w:rFonts w:ascii="Arial" w:hAnsi="Arial" w:cs="Arial"/>
          <w:color w:val="010000"/>
          <w:sz w:val="20"/>
        </w:rPr>
        <w:t>Number of treasury shares: 0 shares.</w:t>
      </w:r>
    </w:p>
    <w:p w14:paraId="0000000A" w14:textId="77777777" w:rsidR="00525673" w:rsidRPr="00511517" w:rsidRDefault="00511517" w:rsidP="006C059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11517">
        <w:rPr>
          <w:rFonts w:ascii="Arial" w:hAnsi="Arial" w:cs="Arial"/>
          <w:color w:val="010000"/>
          <w:sz w:val="20"/>
        </w:rPr>
        <w:t>‎‎Article 2. Assign the Office of the Board of Directors to implement the following tasks:</w:t>
      </w:r>
    </w:p>
    <w:p w14:paraId="0000000B" w14:textId="12B15D13" w:rsidR="00525673" w:rsidRPr="00511517" w:rsidRDefault="00511517" w:rsidP="006C0596">
      <w:pPr>
        <w:numPr>
          <w:ilvl w:val="0"/>
          <w:numId w:val="4"/>
        </w:numPr>
        <w:pBdr>
          <w:top w:val="nil"/>
          <w:left w:val="nil"/>
          <w:bottom w:val="nil"/>
          <w:right w:val="nil"/>
          <w:between w:val="nil"/>
        </w:pBdr>
        <w:tabs>
          <w:tab w:val="left" w:pos="432"/>
          <w:tab w:val="left" w:pos="1892"/>
        </w:tabs>
        <w:spacing w:after="120" w:line="360" w:lineRule="auto"/>
        <w:jc w:val="both"/>
        <w:rPr>
          <w:rFonts w:ascii="Arial" w:eastAsia="Arial" w:hAnsi="Arial" w:cs="Arial"/>
          <w:color w:val="010000"/>
          <w:sz w:val="20"/>
          <w:szCs w:val="20"/>
        </w:rPr>
      </w:pPr>
      <w:r w:rsidRPr="00511517">
        <w:rPr>
          <w:rFonts w:ascii="Arial" w:hAnsi="Arial" w:cs="Arial"/>
          <w:color w:val="010000"/>
          <w:sz w:val="20"/>
        </w:rPr>
        <w:t>Procedures for reporting the issuance results to the State Securities Commission, reporting to the State Bank, disclosing information, and registering additional securities at the Vietnam Securities Depository and Clearing Corporation.</w:t>
      </w:r>
    </w:p>
    <w:p w14:paraId="0000000C" w14:textId="28FEB633" w:rsidR="00525673" w:rsidRPr="00511517" w:rsidRDefault="00511517" w:rsidP="006C0596">
      <w:pPr>
        <w:numPr>
          <w:ilvl w:val="0"/>
          <w:numId w:val="4"/>
        </w:numPr>
        <w:pBdr>
          <w:top w:val="nil"/>
          <w:left w:val="nil"/>
          <w:bottom w:val="nil"/>
          <w:right w:val="nil"/>
          <w:between w:val="nil"/>
        </w:pBdr>
        <w:tabs>
          <w:tab w:val="left" w:pos="432"/>
          <w:tab w:val="left" w:pos="1892"/>
        </w:tabs>
        <w:spacing w:after="120" w:line="360" w:lineRule="auto"/>
        <w:jc w:val="both"/>
        <w:rPr>
          <w:rFonts w:ascii="Arial" w:eastAsia="Arial" w:hAnsi="Arial" w:cs="Arial"/>
          <w:color w:val="010000"/>
          <w:sz w:val="20"/>
          <w:szCs w:val="20"/>
        </w:rPr>
      </w:pPr>
      <w:r w:rsidRPr="00511517">
        <w:rPr>
          <w:rFonts w:ascii="Arial" w:hAnsi="Arial" w:cs="Arial"/>
          <w:color w:val="010000"/>
          <w:sz w:val="20"/>
        </w:rPr>
        <w:t>Procedures for changing business registration at the Department of Planning and Investment, procedures for changing the Operating License at the State Bank of Vietnam after receiving the Notice of the Report on the issuance results of the State Securities Commission.</w:t>
      </w:r>
    </w:p>
    <w:p w14:paraId="0000000D" w14:textId="77777777" w:rsidR="00525673" w:rsidRPr="00511517" w:rsidRDefault="00511517" w:rsidP="006C0596">
      <w:pPr>
        <w:numPr>
          <w:ilvl w:val="0"/>
          <w:numId w:val="4"/>
        </w:numPr>
        <w:pBdr>
          <w:top w:val="nil"/>
          <w:left w:val="nil"/>
          <w:bottom w:val="nil"/>
          <w:right w:val="nil"/>
          <w:between w:val="nil"/>
        </w:pBdr>
        <w:tabs>
          <w:tab w:val="left" w:pos="432"/>
          <w:tab w:val="left" w:pos="1892"/>
        </w:tabs>
        <w:spacing w:after="120" w:line="360" w:lineRule="auto"/>
        <w:jc w:val="both"/>
        <w:rPr>
          <w:rFonts w:ascii="Arial" w:eastAsia="Arial" w:hAnsi="Arial" w:cs="Arial"/>
          <w:color w:val="010000"/>
          <w:sz w:val="20"/>
          <w:szCs w:val="20"/>
        </w:rPr>
      </w:pPr>
      <w:r w:rsidRPr="00511517">
        <w:rPr>
          <w:rFonts w:ascii="Arial" w:hAnsi="Arial" w:cs="Arial"/>
          <w:color w:val="010000"/>
          <w:sz w:val="20"/>
        </w:rPr>
        <w:t>Other relevant tasks and procedures with competent authorities according to regulations.</w:t>
      </w:r>
    </w:p>
    <w:p w14:paraId="0000000E" w14:textId="459A765E" w:rsidR="00525673" w:rsidRPr="00511517" w:rsidRDefault="00511517" w:rsidP="006C059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11517">
        <w:rPr>
          <w:rFonts w:ascii="Arial" w:hAnsi="Arial" w:cs="Arial"/>
          <w:color w:val="010000"/>
          <w:sz w:val="20"/>
        </w:rPr>
        <w:t xml:space="preserve">‎‎Article 3. This Resolution takes effect from the date of its signing. Members of the Board of Directors, the Board of Management, the Executive Board, the Office of the Board of Directors, relevant units, and individuals of </w:t>
      </w:r>
      <w:r w:rsidR="00DC0096" w:rsidRPr="00511517">
        <w:rPr>
          <w:rFonts w:ascii="Arial" w:hAnsi="Arial" w:cs="Arial"/>
          <w:color w:val="010000"/>
          <w:sz w:val="20"/>
        </w:rPr>
        <w:t xml:space="preserve">Viet Capital Bank </w:t>
      </w:r>
      <w:r w:rsidRPr="00511517">
        <w:rPr>
          <w:rFonts w:ascii="Arial" w:hAnsi="Arial" w:cs="Arial"/>
          <w:color w:val="010000"/>
          <w:sz w:val="20"/>
        </w:rPr>
        <w:t>are responsible for implementing this Resolution.</w:t>
      </w:r>
      <w:bookmarkEnd w:id="0"/>
    </w:p>
    <w:sectPr w:rsidR="00525673" w:rsidRPr="00511517" w:rsidSect="00DC0096">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embedRegular r:id="rId1" w:fontKey="{834CA2F9-1D75-40F6-A086-F1BF85103E5F}"/>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F611A320-19D4-4B78-A8D8-C722B5229768}"/>
    <w:embedItalic r:id="rId3" w:fontKey="{7F25DFF7-FACE-4B23-B3B2-E6A2844ECD4B}"/>
  </w:font>
  <w:font w:name="Aptos Display">
    <w:charset w:val="00"/>
    <w:family w:val="swiss"/>
    <w:pitch w:val="variable"/>
    <w:sig w:usb0="20000287" w:usb1="00000003" w:usb2="00000000" w:usb3="00000000" w:csb0="0000019F" w:csb1="00000000"/>
    <w:embedRegular r:id="rId4" w:fontKey="{0781E193-4D81-42FB-AE6B-FEF83859E180}"/>
  </w:font>
  <w:font w:name="Aptos">
    <w:charset w:val="00"/>
    <w:family w:val="swiss"/>
    <w:pitch w:val="variable"/>
    <w:sig w:usb0="20000287" w:usb1="00000003" w:usb2="00000000" w:usb3="00000000" w:csb0="0000019F" w:csb1="00000000"/>
    <w:embedRegular r:id="rId5" w:fontKey="{5AACE2ED-4233-4A9F-882B-400466F8B966}"/>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1487"/>
    <w:multiLevelType w:val="multilevel"/>
    <w:tmpl w:val="4DB810DA"/>
    <w:lvl w:ilvl="0">
      <w:start w:val="1"/>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884619"/>
    <w:multiLevelType w:val="multilevel"/>
    <w:tmpl w:val="E2FC6460"/>
    <w:lvl w:ilvl="0">
      <w:start w:val="1"/>
      <w:numFmt w:val="decimal"/>
      <w:lvlText w:val="%1."/>
      <w:lvlJc w:val="left"/>
      <w:pPr>
        <w:ind w:left="720" w:hanging="36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59247C"/>
    <w:multiLevelType w:val="multilevel"/>
    <w:tmpl w:val="D2A0B958"/>
    <w:lvl w:ilvl="0">
      <w:start w:val="1"/>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7A2DC9"/>
    <w:multiLevelType w:val="multilevel"/>
    <w:tmpl w:val="77EE5A7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73"/>
    <w:rsid w:val="00080AD8"/>
    <w:rsid w:val="00511517"/>
    <w:rsid w:val="00525673"/>
    <w:rsid w:val="006C0596"/>
    <w:rsid w:val="00D66C6A"/>
    <w:rsid w:val="00DC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75878"/>
  <w15:docId w15:val="{14851D9E-657B-4C94-A9AC-763A4248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F0000"/>
      <w:sz w:val="15"/>
      <w:szCs w:val="15"/>
      <w:u w:val="none"/>
      <w:shd w:val="clear" w:color="auto" w:fill="auto"/>
    </w:rPr>
  </w:style>
  <w:style w:type="character" w:customStyle="1" w:styleId="Heading10">
    <w:name w:val="Heading #1_"/>
    <w:basedOn w:val="DefaultParagraphFont"/>
    <w:link w:val="Heading11"/>
    <w:rPr>
      <w:rFonts w:ascii="Arial" w:eastAsia="Arial" w:hAnsi="Arial" w:cs="Arial"/>
      <w:b/>
      <w:bCs/>
      <w:i w:val="0"/>
      <w:iCs w:val="0"/>
      <w:smallCaps w:val="0"/>
      <w:strike w:val="0"/>
      <w:sz w:val="56"/>
      <w:szCs w:val="5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19"/>
      <w:szCs w:val="19"/>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rPr>
      <w:rFonts w:ascii="Times New Roman" w:eastAsia="Times New Roman" w:hAnsi="Times New Roman" w:cs="Times New Roman"/>
      <w:sz w:val="22"/>
      <w:szCs w:val="22"/>
    </w:rPr>
  </w:style>
  <w:style w:type="paragraph" w:customStyle="1" w:styleId="Bodytext30">
    <w:name w:val="Body text (3)"/>
    <w:basedOn w:val="Normal"/>
    <w:link w:val="Bodytext3"/>
    <w:rPr>
      <w:rFonts w:ascii="Times New Roman" w:eastAsia="Times New Roman" w:hAnsi="Times New Roman" w:cs="Times New Roman"/>
      <w:color w:val="FF0000"/>
      <w:sz w:val="15"/>
      <w:szCs w:val="15"/>
    </w:rPr>
  </w:style>
  <w:style w:type="paragraph" w:customStyle="1" w:styleId="Heading11">
    <w:name w:val="Heading #1"/>
    <w:basedOn w:val="Normal"/>
    <w:link w:val="Heading10"/>
    <w:pPr>
      <w:ind w:left="570"/>
      <w:outlineLvl w:val="0"/>
    </w:pPr>
    <w:rPr>
      <w:rFonts w:ascii="Arial" w:eastAsia="Arial" w:hAnsi="Arial" w:cs="Arial"/>
      <w:b/>
      <w:bCs/>
      <w:sz w:val="56"/>
      <w:szCs w:val="56"/>
    </w:rPr>
  </w:style>
  <w:style w:type="paragraph" w:customStyle="1" w:styleId="Other0">
    <w:name w:val="Other"/>
    <w:basedOn w:val="Normal"/>
    <w:link w:val="Other"/>
    <w:rPr>
      <w:rFonts w:ascii="Times New Roman" w:eastAsia="Times New Roman" w:hAnsi="Times New Roman" w:cs="Times New Roman"/>
      <w:sz w:val="22"/>
      <w:szCs w:val="22"/>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sz w:val="28"/>
      <w:szCs w:val="28"/>
    </w:rPr>
  </w:style>
  <w:style w:type="paragraph" w:customStyle="1" w:styleId="Heading31">
    <w:name w:val="Heading #3"/>
    <w:basedOn w:val="Normal"/>
    <w:link w:val="Heading30"/>
    <w:pPr>
      <w:jc w:val="center"/>
      <w:outlineLvl w:val="2"/>
    </w:pPr>
    <w:rPr>
      <w:rFonts w:ascii="Times New Roman" w:eastAsia="Times New Roman" w:hAnsi="Times New Roman" w:cs="Times New Roman"/>
      <w:b/>
      <w:bCs/>
      <w:sz w:val="26"/>
      <w:szCs w:val="26"/>
    </w:rPr>
  </w:style>
  <w:style w:type="paragraph" w:customStyle="1" w:styleId="Bodytext20">
    <w:name w:val="Body text (2)"/>
    <w:basedOn w:val="Normal"/>
    <w:link w:val="Bodytext2"/>
    <w:pPr>
      <w:ind w:left="1880" w:hanging="240"/>
    </w:pPr>
    <w:rPr>
      <w:rFonts w:ascii="Times New Roman" w:eastAsia="Times New Roman" w:hAnsi="Times New Roman" w:cs="Times New Roman"/>
      <w:i/>
      <w:iCs/>
      <w:sz w:val="19"/>
      <w:szCs w:val="19"/>
    </w:rPr>
  </w:style>
  <w:style w:type="paragraph" w:customStyle="1" w:styleId="Tableofcontents0">
    <w:name w:val="Table of contents"/>
    <w:basedOn w:val="Normal"/>
    <w:link w:val="Tableofcontents"/>
    <w:pPr>
      <w:ind w:left="1750"/>
    </w:pPr>
    <w:rPr>
      <w:rFonts w:ascii="Times New Roman" w:eastAsia="Times New Roman" w:hAnsi="Times New Roman" w:cs="Times New Roman"/>
      <w:sz w:val="22"/>
      <w:szCs w:val="22"/>
    </w:rPr>
  </w:style>
  <w:style w:type="paragraph" w:styleId="ListParagraph">
    <w:name w:val="List Paragraph"/>
    <w:basedOn w:val="Normal"/>
    <w:uiPriority w:val="34"/>
    <w:qFormat/>
    <w:rsid w:val="001805D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pD6BBPnbGJMkraltUzDxIl9nQQ==">CgMxLjA4AHIhMTIzOERsLWFQQ3hqUHVneGdBWTBvLTlBZEIyd2hpX0lZ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7</cp:revision>
  <dcterms:created xsi:type="dcterms:W3CDTF">2024-08-23T03:41:00Z</dcterms:created>
  <dcterms:modified xsi:type="dcterms:W3CDTF">2024-08-26T03:41:00Z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06027c87def1bd5d1da79c89112383887c8dae006cbe8b8b39e183120aefa58f</vt:lpwstr>
  </property>
</Properties>
</file>