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97DAA" w:rsidRPr="00A53A65" w:rsidRDefault="00A53A65" w:rsidP="003C2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A53A65">
        <w:rPr>
          <w:rFonts w:ascii="Arial" w:hAnsi="Arial" w:cs="Arial"/>
          <w:b/>
          <w:color w:val="010000"/>
          <w:sz w:val="20"/>
        </w:rPr>
        <w:t>OIL: Board Resolution</w:t>
      </w:r>
    </w:p>
    <w:p w14:paraId="00000002" w14:textId="73803BA5" w:rsidR="00D97DAA" w:rsidRPr="00A53A65" w:rsidRDefault="00A53A65" w:rsidP="003C2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 xml:space="preserve">On August 21, 2024, PetroVietnam Oil Corporation announced Resolution </w:t>
      </w:r>
      <w:r w:rsidR="007A07A9" w:rsidRPr="00A53A65">
        <w:rPr>
          <w:rFonts w:ascii="Arial" w:hAnsi="Arial" w:cs="Arial"/>
          <w:color w:val="010000"/>
          <w:sz w:val="20"/>
        </w:rPr>
        <w:t xml:space="preserve">No. </w:t>
      </w:r>
      <w:r w:rsidRPr="00A53A65">
        <w:rPr>
          <w:rFonts w:ascii="Arial" w:hAnsi="Arial" w:cs="Arial"/>
          <w:color w:val="010000"/>
          <w:sz w:val="20"/>
        </w:rPr>
        <w:t xml:space="preserve">59/NQ-DVN on </w:t>
      </w:r>
      <w:r w:rsidR="003C2999" w:rsidRPr="00A53A65">
        <w:rPr>
          <w:rFonts w:ascii="Arial" w:hAnsi="Arial" w:cs="Arial"/>
          <w:color w:val="010000"/>
          <w:sz w:val="20"/>
        </w:rPr>
        <w:t xml:space="preserve">the </w:t>
      </w:r>
      <w:r w:rsidRPr="00A53A65">
        <w:rPr>
          <w:rFonts w:ascii="Arial" w:hAnsi="Arial" w:cs="Arial"/>
          <w:color w:val="010000"/>
          <w:sz w:val="20"/>
        </w:rPr>
        <w:t>dividend payment 2023 of PetroVietnam Oil Corporation as follows:</w:t>
      </w:r>
    </w:p>
    <w:p w14:paraId="00000003" w14:textId="6A47E319" w:rsidR="00D97DAA" w:rsidRPr="00A53A65" w:rsidRDefault="00A53A65" w:rsidP="003C2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 xml:space="preserve">‎‎Article 1. Approve the </w:t>
      </w:r>
      <w:r w:rsidR="007A07A9" w:rsidRPr="00A53A65">
        <w:rPr>
          <w:rFonts w:ascii="Arial" w:hAnsi="Arial" w:cs="Arial"/>
          <w:color w:val="010000"/>
          <w:sz w:val="20"/>
        </w:rPr>
        <w:t xml:space="preserve">plan on </w:t>
      </w:r>
      <w:r w:rsidRPr="00A53A65">
        <w:rPr>
          <w:rFonts w:ascii="Arial" w:hAnsi="Arial" w:cs="Arial"/>
          <w:color w:val="010000"/>
          <w:sz w:val="20"/>
        </w:rPr>
        <w:t>dividend payment 2023 in cash to existing shareholders of PetroVietnam Oil Corporation as follows:</w:t>
      </w:r>
    </w:p>
    <w:p w14:paraId="00000004" w14:textId="77777777" w:rsidR="00D97DAA" w:rsidRPr="00A53A65" w:rsidRDefault="00A53A65" w:rsidP="003C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>Securities code: OIL</w:t>
      </w:r>
    </w:p>
    <w:p w14:paraId="00000005" w14:textId="77777777" w:rsidR="00D97DAA" w:rsidRPr="00A53A65" w:rsidRDefault="00A53A65" w:rsidP="003C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>Par value: VND10,000/share</w:t>
      </w:r>
    </w:p>
    <w:p w14:paraId="00000006" w14:textId="77777777" w:rsidR="00D97DAA" w:rsidRPr="00A53A65" w:rsidRDefault="00A53A65" w:rsidP="003C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>Dividend payment rate in 2023: 2%/Charter capital (equivalent to VND200/share)</w:t>
      </w:r>
    </w:p>
    <w:p w14:paraId="00000007" w14:textId="77777777" w:rsidR="00D97DAA" w:rsidRPr="00A53A65" w:rsidRDefault="00A53A65" w:rsidP="003C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>Record date: September 06, 2024</w:t>
      </w:r>
    </w:p>
    <w:p w14:paraId="00000008" w14:textId="4A95DC5C" w:rsidR="00D97DAA" w:rsidRPr="00A53A65" w:rsidRDefault="00A53A65" w:rsidP="003C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>Payment date: October 3, 202</w:t>
      </w:r>
      <w:r w:rsidR="007A07A9" w:rsidRPr="00A53A65">
        <w:rPr>
          <w:rFonts w:ascii="Arial" w:hAnsi="Arial" w:cs="Arial"/>
          <w:color w:val="010000"/>
          <w:sz w:val="20"/>
        </w:rPr>
        <w:t>4</w:t>
      </w:r>
    </w:p>
    <w:p w14:paraId="00000009" w14:textId="3E6AD641" w:rsidR="00D97DAA" w:rsidRPr="00A53A65" w:rsidRDefault="00A53A65" w:rsidP="003C2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 xml:space="preserve">‎‎Article 2. Assign the General Manager of the </w:t>
      </w:r>
      <w:r w:rsidR="007A07A9" w:rsidRPr="00A53A65">
        <w:rPr>
          <w:rFonts w:ascii="Arial" w:hAnsi="Arial" w:cs="Arial"/>
          <w:color w:val="010000"/>
          <w:sz w:val="20"/>
        </w:rPr>
        <w:t>C</w:t>
      </w:r>
      <w:r w:rsidRPr="00A53A65">
        <w:rPr>
          <w:rFonts w:ascii="Arial" w:hAnsi="Arial" w:cs="Arial"/>
          <w:color w:val="010000"/>
          <w:sz w:val="20"/>
        </w:rPr>
        <w:t>orporation to implement the dividend payment to existing shareholders in accordance with current regulations.</w:t>
      </w:r>
    </w:p>
    <w:p w14:paraId="0000000A" w14:textId="10053065" w:rsidR="00D97DAA" w:rsidRPr="00A53A65" w:rsidRDefault="00A53A65" w:rsidP="003C29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53A65">
        <w:rPr>
          <w:rFonts w:ascii="Arial" w:hAnsi="Arial" w:cs="Arial"/>
          <w:color w:val="010000"/>
          <w:sz w:val="20"/>
        </w:rPr>
        <w:t xml:space="preserve">‎‎Article 3. This Resolution takes effect from the date of its signing. The General Manager, the Chief Accountant, </w:t>
      </w:r>
      <w:r w:rsidR="007A07A9" w:rsidRPr="00A53A65">
        <w:rPr>
          <w:rFonts w:ascii="Arial" w:hAnsi="Arial" w:cs="Arial"/>
          <w:color w:val="010000"/>
          <w:sz w:val="20"/>
        </w:rPr>
        <w:t xml:space="preserve">the </w:t>
      </w:r>
      <w:r w:rsidRPr="00A53A65">
        <w:rPr>
          <w:rFonts w:ascii="Arial" w:hAnsi="Arial" w:cs="Arial"/>
          <w:color w:val="010000"/>
          <w:sz w:val="20"/>
        </w:rPr>
        <w:t xml:space="preserve">Heads of Departments/ </w:t>
      </w:r>
      <w:r w:rsidR="003C2999" w:rsidRPr="00A53A65">
        <w:rPr>
          <w:rFonts w:ascii="Arial" w:hAnsi="Arial" w:cs="Arial"/>
          <w:color w:val="010000"/>
          <w:sz w:val="20"/>
        </w:rPr>
        <w:t>Divisions</w:t>
      </w:r>
      <w:r w:rsidRPr="00A53A65">
        <w:rPr>
          <w:rFonts w:ascii="Arial" w:hAnsi="Arial" w:cs="Arial"/>
          <w:color w:val="010000"/>
          <w:sz w:val="20"/>
        </w:rPr>
        <w:t xml:space="preserve"> of the Corporation are responsible for the implementation of this Resolution.</w:t>
      </w:r>
    </w:p>
    <w:sectPr w:rsidR="00D97DAA" w:rsidRPr="00A53A65" w:rsidSect="007A07A9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2527B"/>
    <w:multiLevelType w:val="multilevel"/>
    <w:tmpl w:val="8146BF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AA"/>
    <w:rsid w:val="003C2999"/>
    <w:rsid w:val="00647747"/>
    <w:rsid w:val="00683B75"/>
    <w:rsid w:val="00717249"/>
    <w:rsid w:val="007A07A9"/>
    <w:rsid w:val="00A53A65"/>
    <w:rsid w:val="00D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40267"/>
  <w15:docId w15:val="{3757D3FF-D81F-4350-A149-D095FD5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0B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NyVgZmxBWXzcNq92CK6AWrayA==">CgMxLjA4AHIhMVY1OHlEcFd2Rnd6ZktRcW1CQnVhWi1aVnBXdUVTcGk3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2024-08-26T03:11:00Z</dcterms:created>
  <dcterms:modified xsi:type="dcterms:W3CDTF">2024-08-26T03:11:00Z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b61732f95930b98aae7f2f74110f69c0e14d095b3e48359fa1dab6230042f57a</vt:lpwstr>
  </property>
</Properties>
</file>