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07ABE" w:rsidRPr="00BC639E" w:rsidRDefault="00BC639E" w:rsidP="003D7448">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BC639E">
        <w:rPr>
          <w:rFonts w:ascii="Arial" w:hAnsi="Arial" w:cs="Arial"/>
          <w:b/>
          <w:color w:val="010000"/>
          <w:sz w:val="20"/>
        </w:rPr>
        <w:t>ACS: Board Resolution</w:t>
      </w:r>
    </w:p>
    <w:p w14:paraId="00000002" w14:textId="3304B396" w:rsidR="00807ABE" w:rsidRPr="00BC639E" w:rsidRDefault="00BC639E" w:rsidP="003D74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C639E">
        <w:rPr>
          <w:rFonts w:ascii="Arial" w:hAnsi="Arial" w:cs="Arial"/>
          <w:color w:val="010000"/>
          <w:sz w:val="20"/>
        </w:rPr>
        <w:t xml:space="preserve">On August 22, 2024, Architects &amp; Construction Service Corporation announced Resolution </w:t>
      </w:r>
      <w:r w:rsidR="008149F5" w:rsidRPr="00BC639E">
        <w:rPr>
          <w:rFonts w:ascii="Arial" w:hAnsi="Arial" w:cs="Arial"/>
          <w:color w:val="010000"/>
          <w:sz w:val="20"/>
        </w:rPr>
        <w:t xml:space="preserve">No. </w:t>
      </w:r>
      <w:r w:rsidRPr="00BC639E">
        <w:rPr>
          <w:rFonts w:ascii="Arial" w:hAnsi="Arial" w:cs="Arial"/>
          <w:color w:val="010000"/>
          <w:sz w:val="20"/>
        </w:rPr>
        <w:t>06/NQ-HDQT.24 on approving the dossier for private placement to swap debt as follows:</w:t>
      </w:r>
    </w:p>
    <w:p w14:paraId="00000003" w14:textId="0C19B4F1" w:rsidR="00807ABE" w:rsidRPr="00BC639E" w:rsidRDefault="00BC639E" w:rsidP="003D74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C639E">
        <w:rPr>
          <w:rFonts w:ascii="Arial" w:hAnsi="Arial" w:cs="Arial"/>
          <w:color w:val="010000"/>
          <w:sz w:val="20"/>
        </w:rPr>
        <w:t>Article 1: The Board of Directors approved the dossier for private placement to swap debt of Architects &amp; Construction Service Corporation, specifically:</w:t>
      </w:r>
    </w:p>
    <w:p w14:paraId="00000004" w14:textId="77777777" w:rsidR="00807ABE" w:rsidRPr="00BC639E" w:rsidRDefault="00BC639E" w:rsidP="003D7448">
      <w:pPr>
        <w:numPr>
          <w:ilvl w:val="0"/>
          <w:numId w:val="1"/>
        </w:numPr>
        <w:pBdr>
          <w:top w:val="nil"/>
          <w:left w:val="nil"/>
          <w:bottom w:val="nil"/>
          <w:right w:val="nil"/>
          <w:between w:val="nil"/>
        </w:pBdr>
        <w:tabs>
          <w:tab w:val="left" w:pos="432"/>
          <w:tab w:val="left" w:pos="667"/>
        </w:tabs>
        <w:spacing w:after="120" w:line="360" w:lineRule="auto"/>
        <w:jc w:val="both"/>
        <w:rPr>
          <w:rFonts w:ascii="Arial" w:eastAsia="Arial" w:hAnsi="Arial" w:cs="Arial"/>
          <w:color w:val="010000"/>
          <w:sz w:val="20"/>
          <w:szCs w:val="20"/>
        </w:rPr>
      </w:pPr>
      <w:r w:rsidRPr="00BC639E">
        <w:rPr>
          <w:rFonts w:ascii="Arial" w:hAnsi="Arial" w:cs="Arial"/>
          <w:color w:val="010000"/>
          <w:sz w:val="20"/>
        </w:rPr>
        <w:t>Registration Certificate for private placement to swap debt;</w:t>
      </w:r>
    </w:p>
    <w:p w14:paraId="00000005" w14:textId="34550742" w:rsidR="00807ABE" w:rsidRPr="00BC639E" w:rsidRDefault="00BC639E" w:rsidP="003D7448">
      <w:pPr>
        <w:numPr>
          <w:ilvl w:val="0"/>
          <w:numId w:val="1"/>
        </w:numPr>
        <w:pBdr>
          <w:top w:val="nil"/>
          <w:left w:val="nil"/>
          <w:bottom w:val="nil"/>
          <w:right w:val="nil"/>
          <w:between w:val="nil"/>
        </w:pBdr>
        <w:tabs>
          <w:tab w:val="left" w:pos="432"/>
          <w:tab w:val="left" w:pos="667"/>
        </w:tabs>
        <w:spacing w:after="120" w:line="360" w:lineRule="auto"/>
        <w:jc w:val="both"/>
        <w:rPr>
          <w:rFonts w:ascii="Arial" w:eastAsia="Arial" w:hAnsi="Arial" w:cs="Arial"/>
          <w:color w:val="010000"/>
          <w:sz w:val="20"/>
          <w:szCs w:val="20"/>
        </w:rPr>
      </w:pPr>
      <w:r w:rsidRPr="00BC639E">
        <w:rPr>
          <w:rFonts w:ascii="Arial" w:hAnsi="Arial" w:cs="Arial"/>
          <w:color w:val="010000"/>
          <w:sz w:val="20"/>
        </w:rPr>
        <w:t xml:space="preserve">Business Registration Certificate </w:t>
      </w:r>
      <w:r w:rsidR="008149F5" w:rsidRPr="00BC639E">
        <w:rPr>
          <w:rFonts w:ascii="Arial" w:hAnsi="Arial" w:cs="Arial"/>
          <w:color w:val="010000"/>
          <w:sz w:val="20"/>
        </w:rPr>
        <w:t xml:space="preserve">No. </w:t>
      </w:r>
      <w:r w:rsidRPr="00BC639E">
        <w:rPr>
          <w:rFonts w:ascii="Arial" w:hAnsi="Arial" w:cs="Arial"/>
          <w:color w:val="010000"/>
          <w:sz w:val="20"/>
        </w:rPr>
        <w:t>0300584155 issued by Ho Chi Minh City Department of Planning and Investment for the first time on October 19, 2004</w:t>
      </w:r>
      <w:r w:rsidR="00AF2E93">
        <w:rPr>
          <w:rFonts w:ascii="Arial" w:hAnsi="Arial" w:cs="Arial"/>
          <w:color w:val="010000"/>
          <w:sz w:val="20"/>
        </w:rPr>
        <w:t>,</w:t>
      </w:r>
      <w:r w:rsidRPr="00BC639E">
        <w:rPr>
          <w:rFonts w:ascii="Arial" w:hAnsi="Arial" w:cs="Arial"/>
          <w:color w:val="010000"/>
          <w:sz w:val="20"/>
        </w:rPr>
        <w:t xml:space="preserve"> and changed for the fourth time on July 21, 2022. </w:t>
      </w:r>
    </w:p>
    <w:p w14:paraId="00000006" w14:textId="5F4279AA" w:rsidR="00807ABE" w:rsidRPr="00BC639E" w:rsidRDefault="008149F5" w:rsidP="003D7448">
      <w:pPr>
        <w:numPr>
          <w:ilvl w:val="0"/>
          <w:numId w:val="1"/>
        </w:numPr>
        <w:pBdr>
          <w:top w:val="nil"/>
          <w:left w:val="nil"/>
          <w:bottom w:val="nil"/>
          <w:right w:val="nil"/>
          <w:between w:val="nil"/>
        </w:pBdr>
        <w:tabs>
          <w:tab w:val="left" w:pos="432"/>
          <w:tab w:val="left" w:pos="667"/>
        </w:tabs>
        <w:spacing w:after="120" w:line="360" w:lineRule="auto"/>
        <w:jc w:val="both"/>
        <w:rPr>
          <w:rFonts w:ascii="Arial" w:eastAsia="Arial" w:hAnsi="Arial" w:cs="Arial"/>
          <w:color w:val="010000"/>
          <w:sz w:val="20"/>
          <w:szCs w:val="20"/>
        </w:rPr>
      </w:pPr>
      <w:r w:rsidRPr="00BC639E">
        <w:rPr>
          <w:rFonts w:ascii="Arial" w:hAnsi="Arial" w:cs="Arial"/>
          <w:color w:val="010000"/>
          <w:sz w:val="20"/>
        </w:rPr>
        <w:t>The Charter on Organization and O</w:t>
      </w:r>
      <w:r w:rsidR="00BC639E" w:rsidRPr="00BC639E">
        <w:rPr>
          <w:rFonts w:ascii="Arial" w:hAnsi="Arial" w:cs="Arial"/>
          <w:color w:val="010000"/>
          <w:sz w:val="20"/>
        </w:rPr>
        <w:t>peration;</w:t>
      </w:r>
    </w:p>
    <w:p w14:paraId="00000007" w14:textId="706D28B6" w:rsidR="00807ABE" w:rsidRPr="00BC639E" w:rsidRDefault="00BC639E" w:rsidP="003D7448">
      <w:pPr>
        <w:numPr>
          <w:ilvl w:val="0"/>
          <w:numId w:val="1"/>
        </w:numPr>
        <w:pBdr>
          <w:top w:val="nil"/>
          <w:left w:val="nil"/>
          <w:bottom w:val="nil"/>
          <w:right w:val="nil"/>
          <w:between w:val="nil"/>
        </w:pBdr>
        <w:tabs>
          <w:tab w:val="left" w:pos="432"/>
          <w:tab w:val="left" w:pos="667"/>
        </w:tabs>
        <w:spacing w:after="120" w:line="360" w:lineRule="auto"/>
        <w:jc w:val="both"/>
        <w:rPr>
          <w:rFonts w:ascii="Arial" w:eastAsia="Arial" w:hAnsi="Arial" w:cs="Arial"/>
          <w:color w:val="010000"/>
          <w:sz w:val="20"/>
          <w:szCs w:val="20"/>
        </w:rPr>
      </w:pPr>
      <w:r w:rsidRPr="00BC639E">
        <w:rPr>
          <w:rFonts w:ascii="Arial" w:hAnsi="Arial" w:cs="Arial"/>
          <w:color w:val="010000"/>
          <w:sz w:val="20"/>
        </w:rPr>
        <w:t xml:space="preserve">Annual General Mandate 2024 </w:t>
      </w:r>
      <w:r w:rsidR="008149F5" w:rsidRPr="00BC639E">
        <w:rPr>
          <w:rFonts w:ascii="Arial" w:hAnsi="Arial" w:cs="Arial"/>
          <w:color w:val="010000"/>
          <w:sz w:val="20"/>
        </w:rPr>
        <w:t xml:space="preserve">No. </w:t>
      </w:r>
      <w:r w:rsidRPr="00BC639E">
        <w:rPr>
          <w:rFonts w:ascii="Arial" w:hAnsi="Arial" w:cs="Arial"/>
          <w:color w:val="010000"/>
          <w:sz w:val="20"/>
        </w:rPr>
        <w:t>01/NQ-DHDCD.24 dated May 31, 2024</w:t>
      </w:r>
      <w:r w:rsidR="00AF2E93">
        <w:rPr>
          <w:rFonts w:ascii="Arial" w:hAnsi="Arial" w:cs="Arial"/>
          <w:color w:val="010000"/>
          <w:sz w:val="20"/>
        </w:rPr>
        <w:t>,</w:t>
      </w:r>
      <w:r w:rsidRPr="00BC639E">
        <w:rPr>
          <w:rFonts w:ascii="Arial" w:hAnsi="Arial" w:cs="Arial"/>
          <w:color w:val="010000"/>
          <w:sz w:val="20"/>
        </w:rPr>
        <w:t xml:space="preserve"> on approving the plan on share issuance to swap debt</w:t>
      </w:r>
    </w:p>
    <w:p w14:paraId="00000008" w14:textId="26BFC7BA" w:rsidR="00807ABE" w:rsidRPr="00BC639E" w:rsidRDefault="008149F5" w:rsidP="003D7448">
      <w:pPr>
        <w:numPr>
          <w:ilvl w:val="0"/>
          <w:numId w:val="1"/>
        </w:numPr>
        <w:pBdr>
          <w:top w:val="nil"/>
          <w:left w:val="nil"/>
          <w:bottom w:val="nil"/>
          <w:right w:val="nil"/>
          <w:between w:val="nil"/>
        </w:pBdr>
        <w:tabs>
          <w:tab w:val="left" w:pos="432"/>
          <w:tab w:val="left" w:pos="667"/>
        </w:tabs>
        <w:spacing w:after="120" w:line="360" w:lineRule="auto"/>
        <w:jc w:val="both"/>
        <w:rPr>
          <w:rFonts w:ascii="Arial" w:eastAsia="Arial" w:hAnsi="Arial" w:cs="Arial"/>
          <w:color w:val="010000"/>
          <w:sz w:val="20"/>
          <w:szCs w:val="20"/>
        </w:rPr>
      </w:pPr>
      <w:r w:rsidRPr="00BC639E">
        <w:rPr>
          <w:rFonts w:ascii="Arial" w:hAnsi="Arial" w:cs="Arial"/>
          <w:color w:val="010000"/>
          <w:sz w:val="20"/>
        </w:rPr>
        <w:t>Board Resolution</w:t>
      </w:r>
      <w:r w:rsidR="00BC639E" w:rsidRPr="00BC639E">
        <w:rPr>
          <w:rFonts w:ascii="Arial" w:hAnsi="Arial" w:cs="Arial"/>
          <w:color w:val="010000"/>
          <w:sz w:val="20"/>
        </w:rPr>
        <w:t xml:space="preserve"> </w:t>
      </w:r>
      <w:r w:rsidRPr="00BC639E">
        <w:rPr>
          <w:rFonts w:ascii="Arial" w:hAnsi="Arial" w:cs="Arial"/>
          <w:color w:val="010000"/>
          <w:sz w:val="20"/>
        </w:rPr>
        <w:t xml:space="preserve">No. </w:t>
      </w:r>
      <w:r w:rsidR="00BC639E" w:rsidRPr="00BC639E">
        <w:rPr>
          <w:rFonts w:ascii="Arial" w:hAnsi="Arial" w:cs="Arial"/>
          <w:color w:val="010000"/>
          <w:sz w:val="20"/>
        </w:rPr>
        <w:t>05/NQ-HDQT.24 dated August 20, 2024</w:t>
      </w:r>
      <w:r w:rsidR="00AF2E93">
        <w:rPr>
          <w:rFonts w:ascii="Arial" w:hAnsi="Arial" w:cs="Arial"/>
          <w:color w:val="010000"/>
          <w:sz w:val="20"/>
        </w:rPr>
        <w:t>,</w:t>
      </w:r>
      <w:r w:rsidR="00BC639E" w:rsidRPr="00BC639E">
        <w:rPr>
          <w:rFonts w:ascii="Arial" w:hAnsi="Arial" w:cs="Arial"/>
          <w:color w:val="010000"/>
          <w:sz w:val="20"/>
        </w:rPr>
        <w:t xml:space="preserve"> on implementing the plan on private placement to swap debt and approving the plan on ensuring the share issuance meets the regulations on foreign ownership rate;</w:t>
      </w:r>
    </w:p>
    <w:p w14:paraId="00000009" w14:textId="3C556D75" w:rsidR="00807ABE" w:rsidRPr="00BC639E" w:rsidRDefault="00BC639E" w:rsidP="003D7448">
      <w:pPr>
        <w:numPr>
          <w:ilvl w:val="0"/>
          <w:numId w:val="1"/>
        </w:numPr>
        <w:pBdr>
          <w:top w:val="nil"/>
          <w:left w:val="nil"/>
          <w:bottom w:val="nil"/>
          <w:right w:val="nil"/>
          <w:between w:val="nil"/>
        </w:pBdr>
        <w:tabs>
          <w:tab w:val="left" w:pos="432"/>
          <w:tab w:val="left" w:pos="667"/>
        </w:tabs>
        <w:spacing w:after="120" w:line="360" w:lineRule="auto"/>
        <w:jc w:val="both"/>
        <w:rPr>
          <w:rFonts w:ascii="Arial" w:eastAsia="Arial" w:hAnsi="Arial" w:cs="Arial"/>
          <w:color w:val="010000"/>
          <w:sz w:val="20"/>
          <w:szCs w:val="20"/>
        </w:rPr>
      </w:pPr>
      <w:r w:rsidRPr="00BC639E">
        <w:rPr>
          <w:rFonts w:ascii="Arial" w:hAnsi="Arial" w:cs="Arial"/>
          <w:color w:val="010000"/>
          <w:sz w:val="20"/>
        </w:rPr>
        <w:t xml:space="preserve">Official Dispatch </w:t>
      </w:r>
      <w:r w:rsidR="008149F5" w:rsidRPr="00BC639E">
        <w:rPr>
          <w:rFonts w:ascii="Arial" w:hAnsi="Arial" w:cs="Arial"/>
          <w:color w:val="010000"/>
          <w:sz w:val="20"/>
        </w:rPr>
        <w:t xml:space="preserve">No. </w:t>
      </w:r>
      <w:r w:rsidRPr="00BC639E">
        <w:rPr>
          <w:rFonts w:ascii="Arial" w:hAnsi="Arial" w:cs="Arial"/>
          <w:color w:val="010000"/>
          <w:sz w:val="20"/>
        </w:rPr>
        <w:t>4993/UBCK-PTT of the State Securities Commission dated August 7, 2024</w:t>
      </w:r>
      <w:r w:rsidR="00AF2E93">
        <w:rPr>
          <w:rFonts w:ascii="Arial" w:hAnsi="Arial" w:cs="Arial"/>
          <w:color w:val="010000"/>
          <w:sz w:val="20"/>
        </w:rPr>
        <w:t>,</w:t>
      </w:r>
      <w:r w:rsidRPr="00BC639E">
        <w:rPr>
          <w:rFonts w:ascii="Arial" w:hAnsi="Arial" w:cs="Arial"/>
          <w:color w:val="010000"/>
          <w:sz w:val="20"/>
        </w:rPr>
        <w:t xml:space="preserve"> on the dossier for notifying the maximum foreign ownership rate of the Company;</w:t>
      </w:r>
    </w:p>
    <w:p w14:paraId="0000000A" w14:textId="77777777" w:rsidR="00807ABE" w:rsidRPr="00BC639E" w:rsidRDefault="00BC639E" w:rsidP="003D7448">
      <w:pPr>
        <w:numPr>
          <w:ilvl w:val="0"/>
          <w:numId w:val="1"/>
        </w:numPr>
        <w:pBdr>
          <w:top w:val="nil"/>
          <w:left w:val="nil"/>
          <w:bottom w:val="nil"/>
          <w:right w:val="nil"/>
          <w:between w:val="nil"/>
        </w:pBdr>
        <w:tabs>
          <w:tab w:val="left" w:pos="432"/>
          <w:tab w:val="left" w:pos="667"/>
        </w:tabs>
        <w:spacing w:after="120" w:line="360" w:lineRule="auto"/>
        <w:jc w:val="both"/>
        <w:rPr>
          <w:rFonts w:ascii="Arial" w:eastAsia="Arial" w:hAnsi="Arial" w:cs="Arial"/>
          <w:color w:val="010000"/>
          <w:sz w:val="20"/>
          <w:szCs w:val="20"/>
        </w:rPr>
      </w:pPr>
      <w:r w:rsidRPr="00BC639E">
        <w:rPr>
          <w:rFonts w:ascii="Arial" w:hAnsi="Arial" w:cs="Arial"/>
          <w:color w:val="010000"/>
          <w:sz w:val="20"/>
        </w:rPr>
        <w:t>The Audited Separate and Consolidated Financial Statements 2023;</w:t>
      </w:r>
    </w:p>
    <w:p w14:paraId="0000000B" w14:textId="6681A195" w:rsidR="00807ABE" w:rsidRPr="00BC639E" w:rsidRDefault="00BC639E" w:rsidP="003D7448">
      <w:pPr>
        <w:numPr>
          <w:ilvl w:val="0"/>
          <w:numId w:val="1"/>
        </w:numPr>
        <w:pBdr>
          <w:top w:val="nil"/>
          <w:left w:val="nil"/>
          <w:bottom w:val="nil"/>
          <w:right w:val="nil"/>
          <w:between w:val="nil"/>
        </w:pBdr>
        <w:tabs>
          <w:tab w:val="left" w:pos="432"/>
          <w:tab w:val="left" w:pos="700"/>
        </w:tabs>
        <w:spacing w:after="120" w:line="360" w:lineRule="auto"/>
        <w:jc w:val="both"/>
        <w:rPr>
          <w:rFonts w:ascii="Arial" w:eastAsia="Arial" w:hAnsi="Arial" w:cs="Arial"/>
          <w:color w:val="010000"/>
          <w:sz w:val="20"/>
          <w:szCs w:val="20"/>
        </w:rPr>
      </w:pPr>
      <w:r w:rsidRPr="00BC639E">
        <w:rPr>
          <w:rFonts w:ascii="Arial" w:hAnsi="Arial" w:cs="Arial"/>
          <w:color w:val="010000"/>
          <w:sz w:val="20"/>
        </w:rPr>
        <w:t xml:space="preserve">Business Registration Certificate </w:t>
      </w:r>
      <w:r w:rsidR="008149F5" w:rsidRPr="00BC639E">
        <w:rPr>
          <w:rFonts w:ascii="Arial" w:hAnsi="Arial" w:cs="Arial"/>
          <w:color w:val="010000"/>
          <w:sz w:val="20"/>
        </w:rPr>
        <w:t xml:space="preserve">No. </w:t>
      </w:r>
      <w:r w:rsidRPr="00BC639E">
        <w:rPr>
          <w:rFonts w:ascii="Arial" w:hAnsi="Arial" w:cs="Arial"/>
          <w:color w:val="010000"/>
          <w:sz w:val="20"/>
        </w:rPr>
        <w:t>0305011729 issued by the Ho Chi Minh City Department of Planning and Investment for the first time on May 30, 2007</w:t>
      </w:r>
      <w:r w:rsidR="00AF2E93">
        <w:rPr>
          <w:rFonts w:ascii="Arial" w:hAnsi="Arial" w:cs="Arial"/>
          <w:color w:val="010000"/>
          <w:sz w:val="20"/>
        </w:rPr>
        <w:t>,</w:t>
      </w:r>
      <w:r w:rsidRPr="00BC639E">
        <w:rPr>
          <w:rFonts w:ascii="Arial" w:hAnsi="Arial" w:cs="Arial"/>
          <w:color w:val="010000"/>
          <w:sz w:val="20"/>
        </w:rPr>
        <w:t xml:space="preserve"> and changed for the tenth time on June 24, 2022</w:t>
      </w:r>
      <w:r w:rsidR="00AF2E93">
        <w:rPr>
          <w:rFonts w:ascii="Arial" w:hAnsi="Arial" w:cs="Arial"/>
          <w:color w:val="010000"/>
          <w:sz w:val="20"/>
        </w:rPr>
        <w:t>,</w:t>
      </w:r>
      <w:r w:rsidRPr="00BC639E">
        <w:rPr>
          <w:rFonts w:ascii="Arial" w:hAnsi="Arial" w:cs="Arial"/>
          <w:color w:val="010000"/>
          <w:sz w:val="20"/>
        </w:rPr>
        <w:t xml:space="preserve"> of Southern Auditing and Accounting Financial Consulting Services Company Limited. </w:t>
      </w:r>
    </w:p>
    <w:p w14:paraId="0000000C" w14:textId="29CD0D5B" w:rsidR="00807ABE" w:rsidRPr="00BC639E" w:rsidRDefault="00BC639E" w:rsidP="003D7448">
      <w:pPr>
        <w:numPr>
          <w:ilvl w:val="0"/>
          <w:numId w:val="1"/>
        </w:numPr>
        <w:pBdr>
          <w:top w:val="nil"/>
          <w:left w:val="nil"/>
          <w:bottom w:val="nil"/>
          <w:right w:val="nil"/>
          <w:between w:val="nil"/>
        </w:pBdr>
        <w:tabs>
          <w:tab w:val="left" w:pos="432"/>
          <w:tab w:val="left" w:pos="700"/>
        </w:tabs>
        <w:spacing w:after="120" w:line="360" w:lineRule="auto"/>
        <w:jc w:val="both"/>
        <w:rPr>
          <w:rFonts w:ascii="Arial" w:eastAsia="Arial" w:hAnsi="Arial" w:cs="Arial"/>
          <w:color w:val="010000"/>
          <w:sz w:val="20"/>
          <w:szCs w:val="20"/>
        </w:rPr>
      </w:pPr>
      <w:r w:rsidRPr="00BC639E">
        <w:rPr>
          <w:rFonts w:ascii="Arial" w:hAnsi="Arial" w:cs="Arial"/>
          <w:color w:val="010000"/>
          <w:sz w:val="20"/>
        </w:rPr>
        <w:t xml:space="preserve">The Official Dispatch of Architects &amp; Construction Service Corporation </w:t>
      </w:r>
      <w:r w:rsidR="008149F5" w:rsidRPr="00BC639E">
        <w:rPr>
          <w:rFonts w:ascii="Arial" w:hAnsi="Arial" w:cs="Arial"/>
          <w:color w:val="010000"/>
          <w:sz w:val="20"/>
        </w:rPr>
        <w:t xml:space="preserve">on </w:t>
      </w:r>
      <w:r w:rsidRPr="00BC639E">
        <w:rPr>
          <w:rFonts w:ascii="Arial" w:hAnsi="Arial" w:cs="Arial"/>
          <w:color w:val="010000"/>
          <w:sz w:val="20"/>
        </w:rPr>
        <w:t>committing the debt swap does not violate the cross-ownership regulations of the Law on Enterprises</w:t>
      </w:r>
      <w:bookmarkStart w:id="0" w:name="_GoBack"/>
      <w:bookmarkEnd w:id="0"/>
      <w:r w:rsidRPr="00BC639E">
        <w:rPr>
          <w:rFonts w:ascii="Arial" w:hAnsi="Arial" w:cs="Arial"/>
          <w:color w:val="010000"/>
          <w:sz w:val="20"/>
        </w:rPr>
        <w:t>;</w:t>
      </w:r>
    </w:p>
    <w:p w14:paraId="0000000D" w14:textId="52E474A4" w:rsidR="00807ABE" w:rsidRPr="00BC639E" w:rsidRDefault="00BC639E" w:rsidP="003D7448">
      <w:pPr>
        <w:numPr>
          <w:ilvl w:val="0"/>
          <w:numId w:val="1"/>
        </w:numPr>
        <w:pBdr>
          <w:top w:val="nil"/>
          <w:left w:val="nil"/>
          <w:bottom w:val="nil"/>
          <w:right w:val="nil"/>
          <w:between w:val="nil"/>
        </w:pBdr>
        <w:tabs>
          <w:tab w:val="left" w:pos="432"/>
          <w:tab w:val="left" w:pos="748"/>
        </w:tabs>
        <w:spacing w:after="120" w:line="360" w:lineRule="auto"/>
        <w:jc w:val="both"/>
        <w:rPr>
          <w:rFonts w:ascii="Arial" w:eastAsia="Arial" w:hAnsi="Arial" w:cs="Arial"/>
          <w:color w:val="010000"/>
          <w:sz w:val="20"/>
          <w:szCs w:val="20"/>
        </w:rPr>
      </w:pPr>
      <w:r w:rsidRPr="00BC639E">
        <w:rPr>
          <w:rFonts w:ascii="Arial" w:hAnsi="Arial" w:cs="Arial"/>
          <w:color w:val="010000"/>
          <w:sz w:val="20"/>
        </w:rPr>
        <w:t xml:space="preserve">The Official Dispatch of Architects &amp; Construction Service Corporation </w:t>
      </w:r>
      <w:r w:rsidR="008149F5" w:rsidRPr="00BC639E">
        <w:rPr>
          <w:rFonts w:ascii="Arial" w:hAnsi="Arial" w:cs="Arial"/>
          <w:color w:val="010000"/>
          <w:sz w:val="20"/>
        </w:rPr>
        <w:t xml:space="preserve">on </w:t>
      </w:r>
      <w:r w:rsidRPr="00BC639E">
        <w:rPr>
          <w:rFonts w:ascii="Arial" w:hAnsi="Arial" w:cs="Arial"/>
          <w:color w:val="010000"/>
          <w:sz w:val="20"/>
        </w:rPr>
        <w:t>committing not to be in the case of swap leading to economic concentration activities that the economic concentration entity must notify about economic concentration;</w:t>
      </w:r>
    </w:p>
    <w:p w14:paraId="0000000E" w14:textId="75849AA7" w:rsidR="00807ABE" w:rsidRPr="00BC639E" w:rsidRDefault="00BC639E" w:rsidP="003D7448">
      <w:pPr>
        <w:numPr>
          <w:ilvl w:val="0"/>
          <w:numId w:val="1"/>
        </w:numPr>
        <w:pBdr>
          <w:top w:val="nil"/>
          <w:left w:val="nil"/>
          <w:bottom w:val="nil"/>
          <w:right w:val="nil"/>
          <w:between w:val="nil"/>
        </w:pBdr>
        <w:tabs>
          <w:tab w:val="left" w:pos="432"/>
          <w:tab w:val="left" w:pos="748"/>
        </w:tabs>
        <w:spacing w:after="120" w:line="360" w:lineRule="auto"/>
        <w:jc w:val="both"/>
        <w:rPr>
          <w:rFonts w:ascii="Arial" w:eastAsia="Arial" w:hAnsi="Arial" w:cs="Arial"/>
          <w:color w:val="010000"/>
          <w:sz w:val="20"/>
          <w:szCs w:val="20"/>
        </w:rPr>
      </w:pPr>
      <w:r w:rsidRPr="00BC639E">
        <w:rPr>
          <w:rFonts w:ascii="Arial" w:hAnsi="Arial" w:cs="Arial"/>
          <w:color w:val="010000"/>
          <w:sz w:val="20"/>
        </w:rPr>
        <w:t>The Official Dispatch of Architects &amp; Construction Service Corporation</w:t>
      </w:r>
      <w:r w:rsidR="008149F5" w:rsidRPr="00BC639E">
        <w:rPr>
          <w:rFonts w:ascii="Arial" w:hAnsi="Arial" w:cs="Arial"/>
          <w:color w:val="010000"/>
          <w:sz w:val="20"/>
        </w:rPr>
        <w:t xml:space="preserve"> on</w:t>
      </w:r>
      <w:r w:rsidRPr="00BC639E">
        <w:rPr>
          <w:rFonts w:ascii="Arial" w:hAnsi="Arial" w:cs="Arial"/>
          <w:color w:val="010000"/>
          <w:sz w:val="20"/>
        </w:rPr>
        <w:t xml:space="preserve"> committing not to violate the regulations on time </w:t>
      </w:r>
      <w:r w:rsidR="008149F5" w:rsidRPr="00BC639E">
        <w:rPr>
          <w:rFonts w:ascii="Arial" w:hAnsi="Arial" w:cs="Arial"/>
          <w:color w:val="010000"/>
          <w:sz w:val="20"/>
        </w:rPr>
        <w:t>intervals</w:t>
      </w:r>
      <w:r w:rsidRPr="00BC639E">
        <w:rPr>
          <w:rFonts w:ascii="Arial" w:hAnsi="Arial" w:cs="Arial"/>
          <w:color w:val="010000"/>
          <w:sz w:val="20"/>
        </w:rPr>
        <w:t xml:space="preserve"> between offerings and private placements;</w:t>
      </w:r>
    </w:p>
    <w:p w14:paraId="0000000F" w14:textId="77777777" w:rsidR="00807ABE" w:rsidRPr="00BC639E" w:rsidRDefault="00BC639E" w:rsidP="003D7448">
      <w:pPr>
        <w:numPr>
          <w:ilvl w:val="0"/>
          <w:numId w:val="1"/>
        </w:numPr>
        <w:pBdr>
          <w:top w:val="nil"/>
          <w:left w:val="nil"/>
          <w:bottom w:val="nil"/>
          <w:right w:val="nil"/>
          <w:between w:val="nil"/>
        </w:pBdr>
        <w:tabs>
          <w:tab w:val="left" w:pos="432"/>
          <w:tab w:val="left" w:pos="728"/>
        </w:tabs>
        <w:spacing w:after="120" w:line="360" w:lineRule="auto"/>
        <w:jc w:val="both"/>
        <w:rPr>
          <w:rFonts w:ascii="Arial" w:eastAsia="Arial" w:hAnsi="Arial" w:cs="Arial"/>
          <w:color w:val="010000"/>
          <w:sz w:val="20"/>
          <w:szCs w:val="20"/>
        </w:rPr>
      </w:pPr>
      <w:r w:rsidRPr="00BC639E">
        <w:rPr>
          <w:rFonts w:ascii="Arial" w:hAnsi="Arial" w:cs="Arial"/>
          <w:color w:val="010000"/>
          <w:sz w:val="20"/>
        </w:rPr>
        <w:t>Debt swap agreements between creditors and Architects &amp; Construction Service Corporation;</w:t>
      </w:r>
    </w:p>
    <w:p w14:paraId="00000010" w14:textId="77777777" w:rsidR="00807ABE" w:rsidRPr="00BC639E" w:rsidRDefault="00BC639E" w:rsidP="003D7448">
      <w:pPr>
        <w:numPr>
          <w:ilvl w:val="0"/>
          <w:numId w:val="1"/>
        </w:numPr>
        <w:pBdr>
          <w:top w:val="nil"/>
          <w:left w:val="nil"/>
          <w:bottom w:val="nil"/>
          <w:right w:val="nil"/>
          <w:between w:val="nil"/>
        </w:pBdr>
        <w:tabs>
          <w:tab w:val="left" w:pos="432"/>
          <w:tab w:val="left" w:pos="728"/>
        </w:tabs>
        <w:spacing w:after="120" w:line="360" w:lineRule="auto"/>
        <w:jc w:val="both"/>
        <w:rPr>
          <w:rFonts w:ascii="Arial" w:eastAsia="Arial" w:hAnsi="Arial" w:cs="Arial"/>
          <w:color w:val="010000"/>
          <w:sz w:val="20"/>
          <w:szCs w:val="20"/>
        </w:rPr>
      </w:pPr>
      <w:r w:rsidRPr="00BC639E">
        <w:rPr>
          <w:rFonts w:ascii="Arial" w:hAnsi="Arial" w:cs="Arial"/>
          <w:color w:val="010000"/>
          <w:sz w:val="20"/>
        </w:rPr>
        <w:t>Official Dispatches supplementing dossiers sent to the State Securities Commission.</w:t>
      </w:r>
    </w:p>
    <w:p w14:paraId="00000011" w14:textId="77777777" w:rsidR="00807ABE" w:rsidRPr="00BC639E" w:rsidRDefault="00BC639E" w:rsidP="003D74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C639E">
        <w:rPr>
          <w:rFonts w:ascii="Arial" w:hAnsi="Arial" w:cs="Arial"/>
          <w:color w:val="010000"/>
          <w:sz w:val="20"/>
        </w:rPr>
        <w:t>Article 2: Terms of enforcement</w:t>
      </w:r>
    </w:p>
    <w:p w14:paraId="00000012" w14:textId="3255D7C5" w:rsidR="00807ABE" w:rsidRPr="00BC639E" w:rsidRDefault="00BC639E" w:rsidP="003D7448">
      <w:pPr>
        <w:numPr>
          <w:ilvl w:val="0"/>
          <w:numId w:val="2"/>
        </w:numPr>
        <w:pBdr>
          <w:top w:val="nil"/>
          <w:left w:val="nil"/>
          <w:bottom w:val="nil"/>
          <w:right w:val="nil"/>
          <w:between w:val="nil"/>
        </w:pBdr>
        <w:tabs>
          <w:tab w:val="left" w:pos="342"/>
          <w:tab w:val="left" w:pos="432"/>
        </w:tabs>
        <w:spacing w:after="120" w:line="360" w:lineRule="auto"/>
        <w:jc w:val="both"/>
        <w:rPr>
          <w:rFonts w:ascii="Arial" w:eastAsia="Arial" w:hAnsi="Arial" w:cs="Arial"/>
          <w:color w:val="010000"/>
          <w:sz w:val="20"/>
          <w:szCs w:val="20"/>
        </w:rPr>
      </w:pPr>
      <w:r w:rsidRPr="00BC639E">
        <w:rPr>
          <w:rFonts w:ascii="Arial" w:hAnsi="Arial" w:cs="Arial"/>
          <w:color w:val="010000"/>
          <w:sz w:val="20"/>
        </w:rPr>
        <w:t xml:space="preserve">In accordance with regulations in Article 58. The dossier of public companies registering for share issuance to swap debt in Decree </w:t>
      </w:r>
      <w:r w:rsidR="008149F5" w:rsidRPr="00BC639E">
        <w:rPr>
          <w:rFonts w:ascii="Arial" w:hAnsi="Arial" w:cs="Arial"/>
          <w:color w:val="010000"/>
          <w:sz w:val="20"/>
        </w:rPr>
        <w:t xml:space="preserve">No. </w:t>
      </w:r>
      <w:r w:rsidRPr="00BC639E">
        <w:rPr>
          <w:rFonts w:ascii="Arial" w:hAnsi="Arial" w:cs="Arial"/>
          <w:color w:val="010000"/>
          <w:sz w:val="20"/>
        </w:rPr>
        <w:t>155/2020/ND-CP dated December 31, 2020: Individuals with interests related to the share offering are not allowed to participate in voting.</w:t>
      </w:r>
    </w:p>
    <w:p w14:paraId="00000013" w14:textId="158F8217" w:rsidR="00807ABE" w:rsidRPr="00BC639E" w:rsidRDefault="00BC639E" w:rsidP="003D74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C639E">
        <w:rPr>
          <w:rFonts w:ascii="Arial" w:hAnsi="Arial" w:cs="Arial"/>
          <w:color w:val="010000"/>
          <w:sz w:val="20"/>
        </w:rPr>
        <w:lastRenderedPageBreak/>
        <w:t>The Board of Directors shall separate the voting ballots when approving these contents. Specifically: 5/5 members of the Board of Directors attended the meeting and no member of the Board of Directors has interests related to this private placement to swap debt. Therefore, with the number of votes in favor of the members of the Board of Directors attending the meeting (5 votes), the Resolution was approved at the rate of 100% and takes effect from the date of its signing.</w:t>
      </w:r>
    </w:p>
    <w:p w14:paraId="00000014" w14:textId="77777777" w:rsidR="00807ABE" w:rsidRPr="00BC639E" w:rsidRDefault="00BC639E" w:rsidP="003D7448">
      <w:pPr>
        <w:numPr>
          <w:ilvl w:val="0"/>
          <w:numId w:val="2"/>
        </w:numPr>
        <w:pBdr>
          <w:top w:val="nil"/>
          <w:left w:val="nil"/>
          <w:bottom w:val="nil"/>
          <w:right w:val="nil"/>
          <w:between w:val="nil"/>
        </w:pBdr>
        <w:tabs>
          <w:tab w:val="left" w:pos="342"/>
          <w:tab w:val="left" w:pos="432"/>
        </w:tabs>
        <w:spacing w:after="120" w:line="360" w:lineRule="auto"/>
        <w:jc w:val="both"/>
        <w:rPr>
          <w:rFonts w:ascii="Arial" w:eastAsia="Arial" w:hAnsi="Arial" w:cs="Arial"/>
          <w:color w:val="010000"/>
          <w:sz w:val="20"/>
          <w:szCs w:val="20"/>
        </w:rPr>
      </w:pPr>
      <w:r w:rsidRPr="00BC639E">
        <w:rPr>
          <w:rFonts w:ascii="Arial" w:hAnsi="Arial" w:cs="Arial"/>
          <w:color w:val="010000"/>
          <w:sz w:val="20"/>
        </w:rPr>
        <w:t>The Board of Directors, the Board of Management, and relevant departments of Architects &amp; Construction Service Corporation are responsible for implementing this Resolution.</w:t>
      </w:r>
    </w:p>
    <w:sectPr w:rsidR="00807ABE" w:rsidRPr="00BC639E" w:rsidSect="008149F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33B83"/>
    <w:multiLevelType w:val="multilevel"/>
    <w:tmpl w:val="BC5CA46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B29593D"/>
    <w:multiLevelType w:val="multilevel"/>
    <w:tmpl w:val="92A685B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BE"/>
    <w:rsid w:val="003D7448"/>
    <w:rsid w:val="00807ABE"/>
    <w:rsid w:val="008149F5"/>
    <w:rsid w:val="00AF2E93"/>
    <w:rsid w:val="00BC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2639F"/>
  <w15:docId w15:val="{65450450-5F46-4244-9D45-65A94FF2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CB2C3B"/>
      <w:sz w:val="18"/>
      <w:szCs w:val="1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CB2C3B"/>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Bodytext20">
    <w:name w:val="Body text (2)"/>
    <w:basedOn w:val="Normal"/>
    <w:link w:val="Bodytext2"/>
    <w:pPr>
      <w:jc w:val="right"/>
    </w:pPr>
    <w:rPr>
      <w:rFonts w:ascii="Arial" w:eastAsia="Arial" w:hAnsi="Arial" w:cs="Arial"/>
      <w:color w:val="CB2C3B"/>
      <w:sz w:val="18"/>
      <w:szCs w:val="18"/>
    </w:rPr>
  </w:style>
  <w:style w:type="paragraph" w:customStyle="1" w:styleId="Bodytext30">
    <w:name w:val="Body text (3)"/>
    <w:basedOn w:val="Normal"/>
    <w:link w:val="Bodytext3"/>
    <w:pPr>
      <w:jc w:val="right"/>
    </w:pPr>
    <w:rPr>
      <w:rFonts w:ascii="Times New Roman" w:eastAsia="Times New Roman" w:hAnsi="Times New Roman" w:cs="Times New Roman"/>
      <w:color w:val="CB2C3B"/>
      <w:sz w:val="20"/>
      <w:szCs w:val="20"/>
    </w:rPr>
  </w:style>
  <w:style w:type="paragraph" w:styleId="BodyText">
    <w:name w:val="Body Text"/>
    <w:basedOn w:val="Normal"/>
    <w:link w:val="BodyTextChar"/>
    <w:qFormat/>
    <w:pPr>
      <w:spacing w:line="290" w:lineRule="auto"/>
    </w:pP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2XKKKhhEIUEKE+/LgKSZHRXagg==">CgMxLjA4AGonChRzdWdnZXN0LmR3c3NqbWxsdWx3ZRIPxJDhu6ljIE5ndXnhu4VuciExSWtuSUxCY2RtcDhCa1FPUURONmYxcW93UEMyS3NkYXI=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501</Words>
  <Characters>2794</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2024-08-26T04:09:00Z</dcterms:created>
  <dcterms:modified xsi:type="dcterms:W3CDTF">2024-08-27T02:59:00Z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516dfc7c1d44432c3dd6287b47709e6b9a23b4a2a4fa9d0a8db89c284aba17b0</vt:lpwstr>
  </property>
</Properties>
</file>