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DE" w:rsidRPr="00170506" w:rsidRDefault="00170506" w:rsidP="00B1197C">
      <w:pPr>
        <w:tabs>
          <w:tab w:val="left" w:pos="432"/>
        </w:tabs>
        <w:spacing w:after="120" w:line="360" w:lineRule="auto"/>
        <w:jc w:val="both"/>
        <w:rPr>
          <w:rFonts w:ascii="Arial" w:eastAsia="Arial" w:hAnsi="Arial" w:cs="Arial"/>
          <w:b/>
          <w:color w:val="010000"/>
          <w:sz w:val="20"/>
          <w:szCs w:val="20"/>
        </w:rPr>
      </w:pPr>
      <w:r w:rsidRPr="00170506">
        <w:rPr>
          <w:rFonts w:ascii="Arial" w:hAnsi="Arial" w:cs="Arial"/>
          <w:b/>
          <w:color w:val="010000"/>
          <w:sz w:val="20"/>
        </w:rPr>
        <w:t>HTC: Board Resolution</w:t>
      </w:r>
    </w:p>
    <w:p w:rsidR="002029DE" w:rsidRPr="00170506" w:rsidRDefault="00170506" w:rsidP="00B1197C">
      <w:pP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On August 22, 2024,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announced Resolution No. 14/2024/NQ-HDQT as follows:</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‎‎Article 1. Approve the Report on production and business results in the first 06 months of 2024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‎‎Article 2. Approve the Semi-annual Financial Statements 2024 (before and after consolidation)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audited by VIETVALUES Au</w:t>
      </w:r>
      <w:r w:rsidR="004525AD">
        <w:rPr>
          <w:rFonts w:ascii="Arial" w:hAnsi="Arial" w:cs="Arial"/>
          <w:color w:val="010000"/>
          <w:sz w:val="20"/>
        </w:rPr>
        <w:t>diting and Consulting Co., Ltd,</w:t>
      </w:r>
      <w:r w:rsidR="00391969">
        <w:rPr>
          <w:rFonts w:ascii="Arial" w:hAnsi="Arial" w:cs="Arial"/>
          <w:color w:val="010000"/>
          <w:sz w:val="20"/>
        </w:rPr>
        <w:t>.</w:t>
      </w:r>
      <w:bookmarkStart w:id="0" w:name="_GoBack"/>
      <w:bookmarkEnd w:id="0"/>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3. Approve the plan on adjusting the business plan for 2024 as proposed by the General Manager of the Company in Proposal No. 81//HTC-</w:t>
      </w:r>
      <w:proofErr w:type="spellStart"/>
      <w:r w:rsidRPr="00170506">
        <w:rPr>
          <w:rFonts w:ascii="Arial" w:hAnsi="Arial" w:cs="Arial"/>
          <w:color w:val="010000"/>
          <w:sz w:val="20"/>
        </w:rPr>
        <w:t>TTr</w:t>
      </w:r>
      <w:proofErr w:type="spellEnd"/>
      <w:r w:rsidRPr="00170506">
        <w:rPr>
          <w:rFonts w:ascii="Arial" w:hAnsi="Arial" w:cs="Arial"/>
          <w:color w:val="010000"/>
          <w:sz w:val="20"/>
        </w:rPr>
        <w:t xml:space="preserve"> dated August 19, 2024. As for the target of appropriation for the Investment and Development fund: No appropriation</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Request the Executive Board to have a plan to effectively exploit the Investment and Development fund of the Company.</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‎‎Article 4. Approve on adjusting the remuneration of the Chair of Hoc Mon Agriculture Wholesale Market Company Limited from VND12,000,000/month to VND15,000,000/month from August 1, 2024 as proposed by the General Manager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in Proposal No. 77//HTC-</w:t>
      </w:r>
      <w:proofErr w:type="spellStart"/>
      <w:r w:rsidRPr="00170506">
        <w:rPr>
          <w:rFonts w:ascii="Arial" w:hAnsi="Arial" w:cs="Arial"/>
          <w:color w:val="010000"/>
          <w:sz w:val="20"/>
        </w:rPr>
        <w:t>TTr</w:t>
      </w:r>
      <w:proofErr w:type="spellEnd"/>
      <w:r w:rsidRPr="00170506">
        <w:rPr>
          <w:rFonts w:ascii="Arial" w:hAnsi="Arial" w:cs="Arial"/>
          <w:color w:val="010000"/>
          <w:sz w:val="20"/>
        </w:rPr>
        <w:t xml:space="preserve"> dated July 31, 2024. </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‎‎Article 5. Approve on the dividend prepayment for round 1 in 2024 as proposed by the General Manager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in Proposal No. 82/HTC-</w:t>
      </w:r>
      <w:proofErr w:type="spellStart"/>
      <w:r w:rsidRPr="00170506">
        <w:rPr>
          <w:rFonts w:ascii="Arial" w:hAnsi="Arial" w:cs="Arial"/>
          <w:color w:val="010000"/>
          <w:sz w:val="20"/>
        </w:rPr>
        <w:t>TTr</w:t>
      </w:r>
      <w:proofErr w:type="spellEnd"/>
      <w:r w:rsidRPr="00170506">
        <w:rPr>
          <w:rFonts w:ascii="Arial" w:hAnsi="Arial" w:cs="Arial"/>
          <w:color w:val="010000"/>
          <w:sz w:val="20"/>
        </w:rPr>
        <w:t xml:space="preserve"> dated August 19, 2024.</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6. This Resolution takes effect from the date of its signing.</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7. Members of the Board of Directors, the Board of Management, the Chief Accountant, Heads of professional departments; the Chair, and the Manager of Hoc Mon Agriculture Wholesale Market Company Limited are responsible for the implementation of this Resolution./.</w:t>
      </w:r>
    </w:p>
    <w:p w:rsidR="002029DE" w:rsidRPr="00170506" w:rsidRDefault="00170506" w:rsidP="00B1197C">
      <w:pP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On August 22, 2024,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announced Resolution No. 15/2024/NQ-HDQT on approving the adjustment of the business plan 2024 as follows:</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1. Approve on adjusting the business plan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and Consolidation) in 2024 as follows:</w:t>
      </w:r>
    </w:p>
    <w:p w:rsidR="002029DE" w:rsidRPr="00170506" w:rsidRDefault="00170506" w:rsidP="00B1197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0506">
        <w:rPr>
          <w:rFonts w:ascii="Arial" w:hAnsi="Arial" w:cs="Arial"/>
          <w:color w:val="010000"/>
          <w:sz w:val="20"/>
        </w:rPr>
        <w:t xml:space="preserve">The business plan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in 2024:</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Unit: 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
        <w:gridCol w:w="2729"/>
        <w:gridCol w:w="1461"/>
        <w:gridCol w:w="1347"/>
        <w:gridCol w:w="1637"/>
        <w:gridCol w:w="1178"/>
      </w:tblGrid>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No. </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Targets</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Current plan</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Adjusted plan</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Difference (+/-)</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Increase, decrease rate</w:t>
            </w:r>
          </w:p>
        </w:tc>
      </w:tr>
      <w:tr w:rsidR="002029DE" w:rsidRPr="00170506" w:rsidTr="00170506">
        <w:tc>
          <w:tcPr>
            <w:tcW w:w="369"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Charter capital</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164,999</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164,999</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653"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369"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Business figure</w:t>
            </w:r>
          </w:p>
        </w:tc>
        <w:tc>
          <w:tcPr>
            <w:tcW w:w="810"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747"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908"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653"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revenue (in which):</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922,482</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891,434</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-31,048</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-3.37%</w:t>
            </w:r>
          </w:p>
        </w:tc>
      </w:tr>
      <w:tr w:rsidR="002029DE" w:rsidRPr="00170506" w:rsidTr="00170506">
        <w:tc>
          <w:tcPr>
            <w:tcW w:w="369"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Revenue from sales of petroleum</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773,356</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805,103</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31,747</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+4.11%</w:t>
            </w:r>
          </w:p>
        </w:tc>
      </w:tr>
      <w:tr w:rsidR="002029DE" w:rsidRPr="00170506" w:rsidTr="00170506">
        <w:tc>
          <w:tcPr>
            <w:tcW w:w="369"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Revenue from sales of houses in Xuan </w:t>
            </w:r>
            <w:proofErr w:type="spellStart"/>
            <w:r w:rsidRPr="00170506">
              <w:rPr>
                <w:rFonts w:ascii="Arial" w:hAnsi="Arial" w:cs="Arial"/>
                <w:color w:val="010000"/>
                <w:sz w:val="20"/>
              </w:rPr>
              <w:t>Thoi</w:t>
            </w:r>
            <w:proofErr w:type="spellEnd"/>
            <w:r w:rsidRPr="00170506">
              <w:rPr>
                <w:rFonts w:ascii="Arial" w:hAnsi="Arial" w:cs="Arial"/>
                <w:color w:val="010000"/>
                <w:sz w:val="20"/>
              </w:rPr>
              <w:t xml:space="preserve"> Dong Residential Area Project</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92,563</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31,431</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-61,132</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-66.04%</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expenses (in which):</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886,216</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868,192</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-18,024</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-2.03%</w:t>
            </w:r>
          </w:p>
        </w:tc>
      </w:tr>
      <w:tr w:rsidR="002029DE" w:rsidRPr="00170506" w:rsidTr="00170506">
        <w:tc>
          <w:tcPr>
            <w:tcW w:w="369" w:type="pct"/>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Cost of goods sold</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837,899</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815,500</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-22,399</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-2.67%</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Profit before tax </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36,266</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23,424</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-13,024</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-35.91%</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after tax</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33,457</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22,555</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-10,902</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-32.59%</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salary fund</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15,456</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16,403</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947</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+6.13%</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average number of employees</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130</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133</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+2.31%</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distribution</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33,457</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22,555</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-10,902</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-32.59%</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7.1</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Investment and Development Fund</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3,346</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-3,346</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-100.00%</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7.2</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Bonus and Welfare Funds</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5,019</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2,255</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-2,763</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-55.06%</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7.3</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Bonus fund for the Executive Management Board</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377</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-105</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-27.92%</w:t>
            </w: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7.4</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Dividend payment</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19,800</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19,800</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653" w:type="pct"/>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369"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7.5</w:t>
            </w:r>
          </w:p>
        </w:tc>
        <w:tc>
          <w:tcPr>
            <w:tcW w:w="151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 w:val="left" w:pos="2851"/>
              </w:tabs>
              <w:spacing w:after="120" w:line="360" w:lineRule="auto"/>
              <w:jc w:val="both"/>
              <w:rPr>
                <w:rFonts w:ascii="Arial" w:eastAsia="Arial" w:hAnsi="Arial" w:cs="Arial"/>
                <w:color w:val="010000"/>
                <w:sz w:val="20"/>
                <w:szCs w:val="20"/>
              </w:rPr>
            </w:pPr>
            <w:r w:rsidRPr="00170506">
              <w:rPr>
                <w:rFonts w:ascii="Arial" w:hAnsi="Arial" w:cs="Arial"/>
                <w:color w:val="010000"/>
                <w:sz w:val="20"/>
              </w:rPr>
              <w:t>Undistributed profit</w:t>
            </w:r>
          </w:p>
        </w:tc>
        <w:tc>
          <w:tcPr>
            <w:tcW w:w="810"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4,915</w:t>
            </w:r>
          </w:p>
        </w:tc>
        <w:tc>
          <w:tcPr>
            <w:tcW w:w="747"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228</w:t>
            </w:r>
          </w:p>
        </w:tc>
        <w:tc>
          <w:tcPr>
            <w:tcW w:w="908"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-4,687</w:t>
            </w:r>
          </w:p>
        </w:tc>
        <w:tc>
          <w:tcPr>
            <w:tcW w:w="653" w:type="pct"/>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-95.00%</w:t>
            </w:r>
          </w:p>
        </w:tc>
      </w:tr>
    </w:tbl>
    <w:p w:rsidR="002029DE" w:rsidRPr="00170506" w:rsidRDefault="00170506" w:rsidP="00B1197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0506">
        <w:rPr>
          <w:rFonts w:ascii="Arial" w:hAnsi="Arial" w:cs="Arial"/>
          <w:color w:val="010000"/>
          <w:sz w:val="20"/>
        </w:rPr>
        <w:t>Consolidated Business Plan 2024:</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Unit: Million VND</w:t>
      </w:r>
    </w:p>
    <w:tbl>
      <w:tblPr>
        <w:tblStyle w:val="a0"/>
        <w:tblW w:w="5000" w:type="pct"/>
        <w:tblLook w:val="0000" w:firstRow="0" w:lastRow="0" w:firstColumn="0" w:lastColumn="0" w:noHBand="0" w:noVBand="0"/>
      </w:tblPr>
      <w:tblGrid>
        <w:gridCol w:w="538"/>
        <w:gridCol w:w="3105"/>
        <w:gridCol w:w="1450"/>
        <w:gridCol w:w="1336"/>
        <w:gridCol w:w="1356"/>
        <w:gridCol w:w="1232"/>
      </w:tblGrid>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No. </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Targets</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Current plan</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Adjustment plan</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Difference (+/-)</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Increase, decrease rate</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Charter capital</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164,999</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164,999</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Business figure</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revenue (in which):</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1,034,565</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1,004,137</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-30,428</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-2.94%</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Revenue from sales of petroleum</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773,356</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805,103</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31,747</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+4.11%</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Revenue from sales of houses in Xuan </w:t>
            </w:r>
            <w:proofErr w:type="spellStart"/>
            <w:r w:rsidRPr="00170506">
              <w:rPr>
                <w:rFonts w:ascii="Arial" w:hAnsi="Arial" w:cs="Arial"/>
                <w:color w:val="010000"/>
                <w:sz w:val="20"/>
              </w:rPr>
              <w:t>Thoi</w:t>
            </w:r>
            <w:proofErr w:type="spellEnd"/>
            <w:r w:rsidRPr="00170506">
              <w:rPr>
                <w:rFonts w:ascii="Arial" w:hAnsi="Arial" w:cs="Arial"/>
                <w:color w:val="010000"/>
                <w:sz w:val="20"/>
              </w:rPr>
              <w:t xml:space="preserve"> Dong Residential Area Project</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92,563</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31,431</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-61,132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-66.04%</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Revenue from market activities</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144,084</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144,084</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before tax</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47,483</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34,846</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-12,637</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-26.61%</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after tax</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37,664</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27,148</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-10,516</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-27.92%</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salary fund</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83,503</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84,451</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948</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1.13%</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Total average number of employees</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563</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566</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0.53%</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distribution</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37,664</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27,148</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-10,516</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-27.92%</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6.1</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Investment and Development Fund</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3,346</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-3,346</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-100.00%</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6.2</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Bonus and Welfare Funds</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9,225</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6,462</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-2,763</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-29.95%</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6.3</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Bonus fund for the Executive Management Board</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377</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-105</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-27.92%</w:t>
            </w: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6.4</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Dividend payment</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19,800</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19,800</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Dividend payment rate</w:t>
            </w:r>
          </w:p>
        </w:tc>
        <w:tc>
          <w:tcPr>
            <w:tcW w:w="2297" w:type="pct"/>
            <w:gridSpan w:val="3"/>
            <w:tcBorders>
              <w:top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Minimum 12%/Charter capital</w:t>
            </w:r>
          </w:p>
        </w:tc>
        <w:tc>
          <w:tcPr>
            <w:tcW w:w="683" w:type="pct"/>
            <w:tcBorders>
              <w:top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2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6.5</w:t>
            </w:r>
          </w:p>
        </w:tc>
        <w:tc>
          <w:tcPr>
            <w:tcW w:w="17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Undistributed profit</w:t>
            </w:r>
          </w:p>
        </w:tc>
        <w:tc>
          <w:tcPr>
            <w:tcW w:w="80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4,915</w:t>
            </w:r>
          </w:p>
        </w:tc>
        <w:tc>
          <w:tcPr>
            <w:tcW w:w="74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614</w:t>
            </w:r>
          </w:p>
        </w:tc>
        <w:tc>
          <w:tcPr>
            <w:tcW w:w="7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-4,301</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-87.50%</w:t>
            </w:r>
          </w:p>
        </w:tc>
      </w:tr>
    </w:tbl>
    <w:p w:rsidR="002029DE" w:rsidRPr="00170506" w:rsidRDefault="00170506" w:rsidP="00B1197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0506">
        <w:rPr>
          <w:rFonts w:ascii="Arial" w:hAnsi="Arial" w:cs="Arial"/>
          <w:color w:val="010000"/>
          <w:sz w:val="20"/>
        </w:rPr>
        <w:t>Profit distribution of the Adjusted Plan 2024:</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Unit: Million VND</w:t>
      </w:r>
    </w:p>
    <w:tbl>
      <w:tblPr>
        <w:tblStyle w:val="a1"/>
        <w:tblW w:w="5000" w:type="pct"/>
        <w:tblLook w:val="0000" w:firstRow="0" w:lastRow="0" w:firstColumn="0" w:lastColumn="0" w:noHBand="0" w:noVBand="0"/>
      </w:tblPr>
      <w:tblGrid>
        <w:gridCol w:w="3001"/>
        <w:gridCol w:w="842"/>
        <w:gridCol w:w="830"/>
        <w:gridCol w:w="846"/>
        <w:gridCol w:w="963"/>
        <w:gridCol w:w="842"/>
        <w:gridCol w:w="959"/>
        <w:gridCol w:w="734"/>
      </w:tblGrid>
      <w:tr w:rsidR="002029DE" w:rsidRPr="00170506" w:rsidTr="00170506">
        <w:tc>
          <w:tcPr>
            <w:tcW w:w="1664" w:type="pct"/>
            <w:vMerge w:val="restar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Targets</w:t>
            </w:r>
          </w:p>
        </w:tc>
        <w:tc>
          <w:tcPr>
            <w:tcW w:w="467" w:type="pct"/>
            <w:vMerge w:val="restar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Charter capital</w:t>
            </w:r>
          </w:p>
        </w:tc>
        <w:tc>
          <w:tcPr>
            <w:tcW w:w="929" w:type="pct"/>
            <w:gridSpan w:val="2"/>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Consolidated</w:t>
            </w:r>
          </w:p>
        </w:tc>
        <w:tc>
          <w:tcPr>
            <w:tcW w:w="1001" w:type="pct"/>
            <w:gridSpan w:val="2"/>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w:t>
            </w:r>
          </w:p>
        </w:tc>
        <w:tc>
          <w:tcPr>
            <w:tcW w:w="939"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Hoc Mon Agriculture Wholesale Market Company Limited</w:t>
            </w:r>
          </w:p>
        </w:tc>
      </w:tr>
      <w:tr w:rsidR="002029DE" w:rsidRPr="00170506" w:rsidTr="00170506">
        <w:tc>
          <w:tcPr>
            <w:tcW w:w="1664" w:type="pct"/>
            <w:vMerge/>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67" w:type="pct"/>
            <w:vMerge/>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Value (VND)</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Rate (%)</w:t>
            </w: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Value (VND)</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Rate (%)</w:t>
            </w: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Value (VND)</w:t>
            </w: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Rate (%)</w:t>
            </w: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Charter capital</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165,000</w:t>
            </w: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Planned profit after tax</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27,148</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22,555</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28,044</w:t>
            </w: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after tax exceeding the plan</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Profit distribution</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27,148</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w:t>
            </w: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22,555</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w:t>
            </w: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28,044</w:t>
            </w: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w:t>
            </w: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 Investment and development fund</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 Bonus and welfare funds</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6,462</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23.80</w:t>
            </w: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2,255</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10.00</w:t>
            </w: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4,207</w:t>
            </w: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15.00</w:t>
            </w: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3 Payables to owners’ equity</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23,837</w:t>
            </w: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85.00</w:t>
            </w: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4 Bonus fund for the Executive </w:t>
            </w:r>
            <w:r w:rsidRPr="00170506">
              <w:rPr>
                <w:rFonts w:ascii="Arial" w:hAnsi="Arial" w:cs="Arial"/>
                <w:color w:val="010000"/>
                <w:sz w:val="20"/>
              </w:rPr>
              <w:lastRenderedPageBreak/>
              <w:t>Management Board</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w:t>
            </w: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1.20</w:t>
            </w: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lastRenderedPageBreak/>
              <w:t>Results/Plan</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w:t>
            </w: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271</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Exceeded the plan</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10.00%</w:t>
            </w: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0</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5 Dividend payment</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12.00%</w:t>
            </w:r>
          </w:p>
        </w:tc>
        <w:tc>
          <w:tcPr>
            <w:tcW w:w="460"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19,800</w:t>
            </w:r>
          </w:p>
        </w:tc>
        <w:tc>
          <w:tcPr>
            <w:tcW w:w="469"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72.93</w:t>
            </w:r>
          </w:p>
        </w:tc>
        <w:tc>
          <w:tcPr>
            <w:tcW w:w="534"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19,800</w:t>
            </w:r>
          </w:p>
        </w:tc>
        <w:tc>
          <w:tcPr>
            <w:tcW w:w="467"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87.79</w:t>
            </w:r>
          </w:p>
        </w:tc>
        <w:tc>
          <w:tcPr>
            <w:tcW w:w="532" w:type="pct"/>
            <w:tcBorders>
              <w:top w:val="single" w:sz="4" w:space="0" w:color="000000"/>
              <w:left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2029DE" w:rsidRPr="00170506" w:rsidTr="00170506">
        <w:tc>
          <w:tcPr>
            <w:tcW w:w="166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 Undistributed profit in 2024</w:t>
            </w:r>
          </w:p>
        </w:tc>
        <w:tc>
          <w:tcPr>
            <w:tcW w:w="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6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614</w:t>
            </w:r>
          </w:p>
        </w:tc>
        <w:tc>
          <w:tcPr>
            <w:tcW w:w="46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228</w:t>
            </w:r>
          </w:p>
        </w:tc>
        <w:tc>
          <w:tcPr>
            <w:tcW w:w="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53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2029DE" w:rsidRPr="00170506" w:rsidRDefault="002029DE" w:rsidP="00B1197C">
            <w:pPr>
              <w:tabs>
                <w:tab w:val="left" w:pos="432"/>
              </w:tabs>
              <w:spacing w:after="120" w:line="360" w:lineRule="auto"/>
              <w:jc w:val="both"/>
              <w:rPr>
                <w:rFonts w:ascii="Arial" w:eastAsia="Arial" w:hAnsi="Arial" w:cs="Arial"/>
                <w:color w:val="010000"/>
                <w:sz w:val="20"/>
                <w:szCs w:val="20"/>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2029DE" w:rsidRPr="00170506" w:rsidRDefault="002029DE"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bl>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Other targets remain unchanged according to Annual General Mandate 2024 No. 06/2024/NQ-DHDCD dated April 29, 2024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2. The Board of Directors assigned the Chair of the Board of Directors and the General Manager of the Company to implement the contents of this Resolution.</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3. This Resolution takes effect from the date of its signing.</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‎‎Article 4. Members of the Board of Directors, the Board of Management, Heads of professional departments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the Chair, and the Manager of Hoc Mon Agriculture Wholesale Market Company Limited are responsible for implementing this Resolution./.</w:t>
      </w:r>
    </w:p>
    <w:p w:rsidR="002029DE" w:rsidRPr="00170506" w:rsidRDefault="00170506" w:rsidP="00B1197C">
      <w:pP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On August 22, 2024,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 announced Resolution No. 16/2024/NQ-HDQT as follows:</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1. Approve on recording the list to prepay the dividends for round 1 in 2024 as follows:</w:t>
      </w:r>
    </w:p>
    <w:p w:rsidR="002029DE" w:rsidRPr="00170506" w:rsidRDefault="00170506" w:rsidP="00B1197C">
      <w:pPr>
        <w:numPr>
          <w:ilvl w:val="0"/>
          <w:numId w:val="1"/>
        </w:numPr>
        <w:pBdr>
          <w:top w:val="nil"/>
          <w:left w:val="nil"/>
          <w:bottom w:val="nil"/>
          <w:right w:val="nil"/>
          <w:between w:val="nil"/>
        </w:pBdr>
        <w:tabs>
          <w:tab w:val="left" w:pos="432"/>
          <w:tab w:val="left" w:pos="1547"/>
        </w:tabs>
        <w:spacing w:after="120" w:line="360" w:lineRule="auto"/>
        <w:jc w:val="both"/>
        <w:rPr>
          <w:rFonts w:ascii="Arial" w:eastAsia="Arial" w:hAnsi="Arial" w:cs="Arial"/>
          <w:color w:val="010000"/>
          <w:sz w:val="20"/>
          <w:szCs w:val="20"/>
        </w:rPr>
      </w:pPr>
      <w:r w:rsidRPr="00170506">
        <w:rPr>
          <w:rFonts w:ascii="Arial" w:hAnsi="Arial" w:cs="Arial"/>
          <w:color w:val="010000"/>
          <w:sz w:val="20"/>
        </w:rPr>
        <w:t xml:space="preserve">Securities name: Shares of </w:t>
      </w:r>
      <w:proofErr w:type="spellStart"/>
      <w:r w:rsidRPr="00170506">
        <w:rPr>
          <w:rFonts w:ascii="Arial" w:hAnsi="Arial" w:cs="Arial"/>
          <w:color w:val="010000"/>
          <w:sz w:val="20"/>
        </w:rPr>
        <w:t>HocMon</w:t>
      </w:r>
      <w:proofErr w:type="spellEnd"/>
      <w:r w:rsidRPr="00170506">
        <w:rPr>
          <w:rFonts w:ascii="Arial" w:hAnsi="Arial" w:cs="Arial"/>
          <w:color w:val="010000"/>
          <w:sz w:val="20"/>
        </w:rPr>
        <w:t xml:space="preserve"> Trade JSC</w:t>
      </w:r>
    </w:p>
    <w:p w:rsidR="002029DE" w:rsidRPr="00170506" w:rsidRDefault="00170506" w:rsidP="00B1197C">
      <w:pPr>
        <w:numPr>
          <w:ilvl w:val="0"/>
          <w:numId w:val="1"/>
        </w:numPr>
        <w:pBdr>
          <w:top w:val="nil"/>
          <w:left w:val="nil"/>
          <w:bottom w:val="nil"/>
          <w:right w:val="nil"/>
          <w:between w:val="nil"/>
        </w:pBdr>
        <w:tabs>
          <w:tab w:val="left" w:pos="432"/>
          <w:tab w:val="left" w:pos="1547"/>
        </w:tabs>
        <w:spacing w:after="120" w:line="360" w:lineRule="auto"/>
        <w:jc w:val="both"/>
        <w:rPr>
          <w:rFonts w:ascii="Arial" w:eastAsia="Arial" w:hAnsi="Arial" w:cs="Arial"/>
          <w:color w:val="010000"/>
          <w:sz w:val="20"/>
          <w:szCs w:val="20"/>
        </w:rPr>
      </w:pPr>
      <w:r w:rsidRPr="00170506">
        <w:rPr>
          <w:rFonts w:ascii="Arial" w:hAnsi="Arial" w:cs="Arial"/>
          <w:color w:val="010000"/>
          <w:sz w:val="20"/>
        </w:rPr>
        <w:t>Securities code: HTC</w:t>
      </w:r>
    </w:p>
    <w:p w:rsidR="002029DE" w:rsidRPr="00170506" w:rsidRDefault="00170506" w:rsidP="00B1197C">
      <w:pPr>
        <w:numPr>
          <w:ilvl w:val="0"/>
          <w:numId w:val="1"/>
        </w:numPr>
        <w:pBdr>
          <w:top w:val="nil"/>
          <w:left w:val="nil"/>
          <w:bottom w:val="nil"/>
          <w:right w:val="nil"/>
          <w:between w:val="nil"/>
        </w:pBdr>
        <w:tabs>
          <w:tab w:val="left" w:pos="432"/>
          <w:tab w:val="left" w:pos="1547"/>
        </w:tabs>
        <w:spacing w:after="120" w:line="360" w:lineRule="auto"/>
        <w:jc w:val="both"/>
        <w:rPr>
          <w:rFonts w:ascii="Arial" w:eastAsia="Arial" w:hAnsi="Arial" w:cs="Arial"/>
          <w:color w:val="010000"/>
          <w:sz w:val="20"/>
          <w:szCs w:val="20"/>
        </w:rPr>
      </w:pPr>
      <w:r w:rsidRPr="00170506">
        <w:rPr>
          <w:rFonts w:ascii="Arial" w:hAnsi="Arial" w:cs="Arial"/>
          <w:color w:val="010000"/>
          <w:sz w:val="20"/>
        </w:rPr>
        <w:t>Securities type: Common shares</w:t>
      </w:r>
    </w:p>
    <w:p w:rsidR="002029DE" w:rsidRPr="00170506" w:rsidRDefault="00170506" w:rsidP="00B1197C">
      <w:pPr>
        <w:numPr>
          <w:ilvl w:val="0"/>
          <w:numId w:val="1"/>
        </w:numPr>
        <w:pBdr>
          <w:top w:val="nil"/>
          <w:left w:val="nil"/>
          <w:bottom w:val="nil"/>
          <w:right w:val="nil"/>
          <w:between w:val="nil"/>
        </w:pBdr>
        <w:tabs>
          <w:tab w:val="left" w:pos="432"/>
          <w:tab w:val="left" w:pos="1552"/>
        </w:tabs>
        <w:spacing w:after="120" w:line="360" w:lineRule="auto"/>
        <w:jc w:val="both"/>
        <w:rPr>
          <w:rFonts w:ascii="Arial" w:eastAsia="Arial" w:hAnsi="Arial" w:cs="Arial"/>
          <w:color w:val="010000"/>
          <w:sz w:val="20"/>
          <w:szCs w:val="20"/>
        </w:rPr>
      </w:pPr>
      <w:r w:rsidRPr="00170506">
        <w:rPr>
          <w:rFonts w:ascii="Arial" w:hAnsi="Arial" w:cs="Arial"/>
          <w:color w:val="010000"/>
          <w:sz w:val="20"/>
        </w:rPr>
        <w:t>Par value: VND10,000</w:t>
      </w:r>
    </w:p>
    <w:p w:rsidR="002029DE" w:rsidRPr="00170506" w:rsidRDefault="00170506" w:rsidP="00B1197C">
      <w:pPr>
        <w:numPr>
          <w:ilvl w:val="0"/>
          <w:numId w:val="1"/>
        </w:numPr>
        <w:pBdr>
          <w:top w:val="nil"/>
          <w:left w:val="nil"/>
          <w:bottom w:val="nil"/>
          <w:right w:val="nil"/>
          <w:between w:val="nil"/>
        </w:pBdr>
        <w:tabs>
          <w:tab w:val="left" w:pos="432"/>
          <w:tab w:val="left" w:pos="1552"/>
        </w:tabs>
        <w:spacing w:after="120" w:line="360" w:lineRule="auto"/>
        <w:jc w:val="both"/>
        <w:rPr>
          <w:rFonts w:ascii="Arial" w:eastAsia="Arial" w:hAnsi="Arial" w:cs="Arial"/>
          <w:color w:val="010000"/>
          <w:sz w:val="20"/>
          <w:szCs w:val="20"/>
        </w:rPr>
      </w:pPr>
      <w:r w:rsidRPr="00170506">
        <w:rPr>
          <w:rFonts w:ascii="Arial" w:hAnsi="Arial" w:cs="Arial"/>
          <w:color w:val="010000"/>
          <w:sz w:val="20"/>
        </w:rPr>
        <w:t>Record date: September 9, 2024</w:t>
      </w:r>
    </w:p>
    <w:p w:rsidR="002029DE" w:rsidRPr="00170506" w:rsidRDefault="00170506" w:rsidP="00B1197C">
      <w:pPr>
        <w:numPr>
          <w:ilvl w:val="0"/>
          <w:numId w:val="1"/>
        </w:numPr>
        <w:pBdr>
          <w:top w:val="nil"/>
          <w:left w:val="nil"/>
          <w:bottom w:val="nil"/>
          <w:right w:val="nil"/>
          <w:between w:val="nil"/>
        </w:pBdr>
        <w:tabs>
          <w:tab w:val="left" w:pos="432"/>
          <w:tab w:val="left" w:pos="1552"/>
        </w:tabs>
        <w:spacing w:after="120" w:line="360" w:lineRule="auto"/>
        <w:jc w:val="both"/>
        <w:rPr>
          <w:rFonts w:ascii="Arial" w:eastAsia="Arial" w:hAnsi="Arial" w:cs="Arial"/>
          <w:color w:val="010000"/>
          <w:sz w:val="20"/>
          <w:szCs w:val="20"/>
        </w:rPr>
      </w:pPr>
      <w:r w:rsidRPr="00170506">
        <w:rPr>
          <w:rFonts w:ascii="Arial" w:hAnsi="Arial" w:cs="Arial"/>
          <w:color w:val="010000"/>
          <w:sz w:val="20"/>
        </w:rPr>
        <w:t>Reason and purpose: Prepay dividends for round 1 in 2024 in cash</w:t>
      </w:r>
    </w:p>
    <w:p w:rsidR="002029DE" w:rsidRPr="00170506" w:rsidRDefault="00170506" w:rsidP="00B1197C">
      <w:pPr>
        <w:numPr>
          <w:ilvl w:val="0"/>
          <w:numId w:val="1"/>
        </w:numPr>
        <w:pBdr>
          <w:top w:val="nil"/>
          <w:left w:val="nil"/>
          <w:bottom w:val="nil"/>
          <w:right w:val="nil"/>
          <w:between w:val="nil"/>
        </w:pBdr>
        <w:tabs>
          <w:tab w:val="left" w:pos="432"/>
          <w:tab w:val="left" w:pos="1552"/>
        </w:tabs>
        <w:spacing w:after="120" w:line="360" w:lineRule="auto"/>
        <w:jc w:val="both"/>
        <w:rPr>
          <w:rFonts w:ascii="Arial" w:eastAsia="Arial" w:hAnsi="Arial" w:cs="Arial"/>
          <w:color w:val="010000"/>
          <w:sz w:val="20"/>
          <w:szCs w:val="20"/>
        </w:rPr>
      </w:pPr>
      <w:r w:rsidRPr="00170506">
        <w:rPr>
          <w:rFonts w:ascii="Arial" w:hAnsi="Arial" w:cs="Arial"/>
          <w:color w:val="010000"/>
          <w:sz w:val="20"/>
        </w:rPr>
        <w:t>Payment rate: 3%/share (shareholders receive VND300 for every share they own).</w:t>
      </w:r>
    </w:p>
    <w:p w:rsidR="002029DE" w:rsidRPr="00170506" w:rsidRDefault="00170506" w:rsidP="00B1197C">
      <w:pPr>
        <w:numPr>
          <w:ilvl w:val="0"/>
          <w:numId w:val="1"/>
        </w:numPr>
        <w:pBdr>
          <w:top w:val="nil"/>
          <w:left w:val="nil"/>
          <w:bottom w:val="nil"/>
          <w:right w:val="nil"/>
          <w:between w:val="nil"/>
        </w:pBdr>
        <w:tabs>
          <w:tab w:val="left" w:pos="432"/>
          <w:tab w:val="left" w:pos="1552"/>
        </w:tabs>
        <w:spacing w:after="120" w:line="360" w:lineRule="auto"/>
        <w:jc w:val="both"/>
        <w:rPr>
          <w:rFonts w:ascii="Arial" w:eastAsia="Arial" w:hAnsi="Arial" w:cs="Arial"/>
          <w:color w:val="010000"/>
          <w:sz w:val="20"/>
          <w:szCs w:val="20"/>
        </w:rPr>
      </w:pPr>
      <w:r w:rsidRPr="00170506">
        <w:rPr>
          <w:rFonts w:ascii="Arial" w:hAnsi="Arial" w:cs="Arial"/>
          <w:color w:val="010000"/>
          <w:sz w:val="20"/>
        </w:rPr>
        <w:t>Payment date: September 27, 2024</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2. Approve on authorizing the Chair of the Board of Directors and the General Manager of the Company (the legal representative) to implement legal procedures related to the above contents.</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3. This Resolution takes effect from the date of its signing.</w:t>
      </w:r>
    </w:p>
    <w:p w:rsidR="002029DE" w:rsidRPr="00170506" w:rsidRDefault="00170506" w:rsidP="00B1197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0506">
        <w:rPr>
          <w:rFonts w:ascii="Arial" w:hAnsi="Arial" w:cs="Arial"/>
          <w:color w:val="010000"/>
          <w:sz w:val="20"/>
        </w:rPr>
        <w:t>‎‎Article 4. Members of the Board of Directors, the Board of Management, the Chief Accountant, and Heads of professional departments are responsible for implementing this Resolution./.</w:t>
      </w:r>
    </w:p>
    <w:sectPr w:rsidR="002029DE" w:rsidRPr="00170506" w:rsidSect="0017050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589F"/>
    <w:multiLevelType w:val="multilevel"/>
    <w:tmpl w:val="1D9EBAE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9C84A5B"/>
    <w:multiLevelType w:val="multilevel"/>
    <w:tmpl w:val="35BE482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DE"/>
    <w:rsid w:val="00170506"/>
    <w:rsid w:val="002029DE"/>
    <w:rsid w:val="00391969"/>
    <w:rsid w:val="004525AD"/>
    <w:rsid w:val="00B1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A4088"/>
  <w15:docId w15:val="{C8AD1B61-C85A-4503-BBF0-544207CE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CD"/>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strike w:val="0"/>
      <w:sz w:val="32"/>
      <w:szCs w:val="3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sz w:val="32"/>
      <w:szCs w:val="32"/>
      <w:u w:val="none"/>
      <w:shd w:val="clear" w:color="auto" w:fill="auto"/>
    </w:rPr>
  </w:style>
  <w:style w:type="paragraph" w:customStyle="1" w:styleId="Bodytext40">
    <w:name w:val="Body text (4)"/>
    <w:basedOn w:val="Normal"/>
    <w:link w:val="Bodytext4"/>
    <w:pPr>
      <w:spacing w:line="276" w:lineRule="auto"/>
      <w:jc w:val="center"/>
    </w:pPr>
    <w:rPr>
      <w:rFonts w:ascii="Times New Roman" w:eastAsia="Times New Roman" w:hAnsi="Times New Roman" w:cs="Times New Roman"/>
      <w:smallCaps/>
      <w:sz w:val="32"/>
      <w:szCs w:val="32"/>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Heading41">
    <w:name w:val="Heading #4"/>
    <w:basedOn w:val="Normal"/>
    <w:link w:val="Heading40"/>
    <w:pPr>
      <w:spacing w:line="259" w:lineRule="auto"/>
      <w:jc w:val="center"/>
      <w:outlineLvl w:val="3"/>
    </w:pPr>
    <w:rPr>
      <w:rFonts w:ascii="Times New Roman" w:eastAsia="Times New Roman" w:hAnsi="Times New Roman" w:cs="Times New Roman"/>
      <w:b/>
      <w:bCs/>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0"/>
      <w:szCs w:val="30"/>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30"/>
      <w:szCs w:val="30"/>
    </w:rPr>
  </w:style>
  <w:style w:type="paragraph" w:customStyle="1" w:styleId="Bodytext30">
    <w:name w:val="Body text (3)"/>
    <w:basedOn w:val="Normal"/>
    <w:link w:val="Bodytext3"/>
    <w:pPr>
      <w:spacing w:line="264" w:lineRule="auto"/>
      <w:jc w:val="center"/>
    </w:pPr>
    <w:rPr>
      <w:rFonts w:ascii="Times New Roman" w:eastAsia="Times New Roman" w:hAnsi="Times New Roman" w:cs="Times New Roman"/>
      <w:b/>
      <w:bCs/>
      <w:sz w:val="22"/>
      <w:szCs w:val="22"/>
    </w:rPr>
  </w:style>
  <w:style w:type="paragraph" w:customStyle="1" w:styleId="Tableofcontents0">
    <w:name w:val="Table of contents"/>
    <w:basedOn w:val="Normal"/>
    <w:link w:val="Tableofcontents"/>
    <w:pPr>
      <w:spacing w:line="259" w:lineRule="auto"/>
      <w:ind w:firstLine="290"/>
    </w:pPr>
    <w:rPr>
      <w:rFonts w:ascii="Times New Roman" w:eastAsia="Times New Roman" w:hAnsi="Times New Roman" w:cs="Times New Roman"/>
      <w:sz w:val="26"/>
      <w:szCs w:val="26"/>
    </w:rPr>
  </w:style>
  <w:style w:type="paragraph" w:customStyle="1" w:styleId="Other0">
    <w:name w:val="Other"/>
    <w:basedOn w:val="Normal"/>
    <w:link w:val="Other"/>
    <w:pPr>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ind w:firstLine="370"/>
    </w:pPr>
    <w:rPr>
      <w:rFonts w:ascii="Times New Roman" w:eastAsia="Times New Roman" w:hAnsi="Times New Roman" w:cs="Times New Roman"/>
      <w:sz w:val="19"/>
      <w:szCs w:val="19"/>
    </w:rPr>
  </w:style>
  <w:style w:type="paragraph" w:customStyle="1" w:styleId="Tablecaption0">
    <w:name w:val="Table caption"/>
    <w:basedOn w:val="Normal"/>
    <w:link w:val="Tablecaption"/>
    <w:pPr>
      <w:ind w:firstLine="310"/>
    </w:pPr>
    <w:rPr>
      <w:rFonts w:ascii="Times New Roman" w:eastAsia="Times New Roman" w:hAnsi="Times New Roman" w:cs="Times New Roman"/>
      <w:sz w:val="26"/>
      <w:szCs w:val="26"/>
    </w:rPr>
  </w:style>
  <w:style w:type="paragraph" w:customStyle="1" w:styleId="Heading11">
    <w:name w:val="Heading #1"/>
    <w:basedOn w:val="Normal"/>
    <w:link w:val="Heading10"/>
    <w:pPr>
      <w:spacing w:line="221" w:lineRule="auto"/>
      <w:ind w:left="1950"/>
      <w:outlineLvl w:val="0"/>
    </w:pPr>
    <w:rPr>
      <w:rFonts w:ascii="Times New Roman" w:eastAsia="Times New Roman" w:hAnsi="Times New Roman" w:cs="Times New Roman"/>
      <w:smallCaps/>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1NVi9HCuJf1lj5Ma+R/g1kEZg==">CgMxLjA4AHIhMVFIYXhCQmk4bW05MUNoSWlGMEtnWHNoZS16a19xY2ht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957</Words>
  <Characters>5457</Characters>
  <Application>Microsoft Office Word</Application>
  <DocSecurity>0</DocSecurity>
  <Lines>45</Lines>
  <Paragraphs>12</Paragraphs>
  <ScaleCrop>false</ScaleCrop>
  <Company>Microsoft</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2024-08-26T03:48:00Z</dcterms:created>
  <dcterms:modified xsi:type="dcterms:W3CDTF">2024-08-27T03:04:00Z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d8fb7c5ec5133c3939add25dbeca1405e8b23088fbd74c3d9079a9059be53e22</vt:lpwstr>
  </property>
</Properties>
</file>