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2490" w:rsidRPr="00CE7D0A" w:rsidRDefault="00CE7D0A" w:rsidP="00E638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15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E7D0A">
        <w:rPr>
          <w:rFonts w:ascii="Arial" w:hAnsi="Arial" w:cs="Arial"/>
          <w:b/>
          <w:color w:val="010000"/>
          <w:sz w:val="20"/>
        </w:rPr>
        <w:t>ILS: Board Decision</w:t>
      </w:r>
    </w:p>
    <w:p w14:paraId="00000002" w14:textId="63C1F363" w:rsidR="000D2490" w:rsidRPr="00CE7D0A" w:rsidRDefault="00CE7D0A" w:rsidP="00E638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 xml:space="preserve">On August 23, 2024, International Investment Trade and Service Joint Stock Company announced Decision No. 28/QD-HDQT on approving transactions with the </w:t>
      </w:r>
      <w:r w:rsidR="00E638AF">
        <w:rPr>
          <w:rFonts w:ascii="Arial" w:hAnsi="Arial" w:cs="Arial"/>
          <w:color w:val="010000"/>
          <w:sz w:val="20"/>
        </w:rPr>
        <w:t>related</w:t>
      </w:r>
      <w:r w:rsidRPr="00CE7D0A">
        <w:rPr>
          <w:rFonts w:ascii="Arial" w:hAnsi="Arial" w:cs="Arial"/>
          <w:color w:val="010000"/>
          <w:sz w:val="20"/>
        </w:rPr>
        <w:t xml:space="preserve"> person as follows:</w:t>
      </w:r>
    </w:p>
    <w:p w14:paraId="00000003" w14:textId="61B20532" w:rsidR="000D2490" w:rsidRPr="00CE7D0A" w:rsidRDefault="00CE7D0A" w:rsidP="00E638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 xml:space="preserve">‎‎Article 1. Approve the transaction between International Investment Trade and Service Joint Stock Company and the </w:t>
      </w:r>
      <w:r w:rsidR="00E638AF">
        <w:rPr>
          <w:rFonts w:ascii="Arial" w:hAnsi="Arial" w:cs="Arial"/>
          <w:color w:val="010000"/>
          <w:sz w:val="20"/>
        </w:rPr>
        <w:t>related</w:t>
      </w:r>
      <w:r w:rsidRPr="00CE7D0A">
        <w:rPr>
          <w:rFonts w:ascii="Arial" w:hAnsi="Arial" w:cs="Arial"/>
          <w:color w:val="010000"/>
          <w:sz w:val="20"/>
        </w:rPr>
        <w:t xml:space="preserve"> organization/individual with the following contents:</w:t>
      </w:r>
    </w:p>
    <w:p w14:paraId="00000004" w14:textId="77777777" w:rsidR="000D2490" w:rsidRPr="00CE7D0A" w:rsidRDefault="00CE7D0A" w:rsidP="00E63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Lender/Borrower:</w:t>
      </w:r>
    </w:p>
    <w:p w14:paraId="00000005" w14:textId="556D8C39" w:rsidR="000D2490" w:rsidRPr="00CE7D0A" w:rsidRDefault="00E638AF" w:rsidP="00E638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Related</w:t>
      </w:r>
      <w:r w:rsidR="00CE7D0A" w:rsidRPr="00CE7D0A">
        <w:rPr>
          <w:rFonts w:ascii="Arial" w:hAnsi="Arial" w:cs="Arial"/>
          <w:color w:val="010000"/>
          <w:sz w:val="20"/>
        </w:rPr>
        <w:t xml:space="preserve"> organizations:</w:t>
      </w:r>
    </w:p>
    <w:p w14:paraId="00000006" w14:textId="77777777" w:rsidR="000D2490" w:rsidRPr="00CE7D0A" w:rsidRDefault="00CE7D0A" w:rsidP="00E638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In</w:t>
      </w:r>
      <w:bookmarkStart w:id="0" w:name="_GoBack"/>
      <w:bookmarkEnd w:id="0"/>
      <w:r w:rsidRPr="00CE7D0A">
        <w:rPr>
          <w:rFonts w:ascii="Arial" w:hAnsi="Arial" w:cs="Arial"/>
          <w:color w:val="010000"/>
          <w:sz w:val="20"/>
        </w:rPr>
        <w:t>ternational Manpower Supply and Trade Joint Stock Company;</w:t>
      </w:r>
    </w:p>
    <w:p w14:paraId="00000007" w14:textId="77777777" w:rsidR="000D2490" w:rsidRPr="00CE7D0A" w:rsidRDefault="00CE7D0A" w:rsidP="00E638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spellStart"/>
      <w:r w:rsidRPr="00CE7D0A">
        <w:rPr>
          <w:rFonts w:ascii="Arial" w:hAnsi="Arial" w:cs="Arial"/>
          <w:color w:val="010000"/>
          <w:sz w:val="20"/>
        </w:rPr>
        <w:t>Interserco</w:t>
      </w:r>
      <w:proofErr w:type="spellEnd"/>
      <w:r w:rsidRPr="00CE7D0A">
        <w:rPr>
          <w:rFonts w:ascii="Arial" w:hAnsi="Arial" w:cs="Arial"/>
          <w:color w:val="010000"/>
          <w:sz w:val="20"/>
        </w:rPr>
        <w:t xml:space="preserve"> My Dinh Joint Stock Company;</w:t>
      </w:r>
    </w:p>
    <w:p w14:paraId="00000009" w14:textId="4A600593" w:rsidR="000D2490" w:rsidRPr="00CE7D0A" w:rsidRDefault="00CE7D0A" w:rsidP="00E638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 xml:space="preserve">Vietnam </w:t>
      </w:r>
      <w:proofErr w:type="spellStart"/>
      <w:r w:rsidRPr="00CE7D0A">
        <w:rPr>
          <w:rFonts w:ascii="Arial" w:hAnsi="Arial" w:cs="Arial"/>
          <w:color w:val="010000"/>
          <w:sz w:val="20"/>
        </w:rPr>
        <w:t>Interserco</w:t>
      </w:r>
      <w:proofErr w:type="spellEnd"/>
      <w:r w:rsidRPr="00CE7D0A">
        <w:rPr>
          <w:rFonts w:ascii="Arial" w:hAnsi="Arial" w:cs="Arial"/>
          <w:color w:val="010000"/>
          <w:sz w:val="20"/>
        </w:rPr>
        <w:t xml:space="preserve"> Trading International Joint Stock Company.</w:t>
      </w:r>
    </w:p>
    <w:p w14:paraId="0000000A" w14:textId="0366A992" w:rsidR="000D2490" w:rsidRPr="00CE7D0A" w:rsidRDefault="00E638AF" w:rsidP="00E638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Related</w:t>
      </w:r>
      <w:r w:rsidR="00CE7D0A" w:rsidRPr="00CE7D0A">
        <w:rPr>
          <w:rFonts w:ascii="Arial" w:hAnsi="Arial" w:cs="Arial"/>
          <w:color w:val="010000"/>
          <w:sz w:val="20"/>
        </w:rPr>
        <w:t xml:space="preserve"> individuals: The list of </w:t>
      </w:r>
      <w:r>
        <w:rPr>
          <w:rFonts w:ascii="Arial" w:hAnsi="Arial" w:cs="Arial"/>
          <w:color w:val="010000"/>
          <w:sz w:val="20"/>
        </w:rPr>
        <w:t>related</w:t>
      </w:r>
      <w:r w:rsidR="00CE7D0A" w:rsidRPr="00CE7D0A">
        <w:rPr>
          <w:rFonts w:ascii="Arial" w:hAnsi="Arial" w:cs="Arial"/>
          <w:color w:val="010000"/>
          <w:sz w:val="20"/>
        </w:rPr>
        <w:t xml:space="preserve"> persons according to the Report on disclosing information of International Investment Trade and Service Joint Stock Company, excluding cases where the borrower is an individual shareholder and the </w:t>
      </w:r>
      <w:r>
        <w:rPr>
          <w:rFonts w:ascii="Arial" w:hAnsi="Arial" w:cs="Arial"/>
          <w:color w:val="010000"/>
          <w:sz w:val="20"/>
        </w:rPr>
        <w:t>related</w:t>
      </w:r>
      <w:r w:rsidR="00CE7D0A" w:rsidRPr="00CE7D0A">
        <w:rPr>
          <w:rFonts w:ascii="Arial" w:hAnsi="Arial" w:cs="Arial"/>
          <w:color w:val="010000"/>
          <w:sz w:val="20"/>
        </w:rPr>
        <w:t xml:space="preserve"> person of the institutional shareholder.</w:t>
      </w:r>
    </w:p>
    <w:p w14:paraId="0000000B" w14:textId="77777777" w:rsidR="000D2490" w:rsidRPr="00CE7D0A" w:rsidRDefault="00CE7D0A" w:rsidP="00E63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Lender/Borrower: International Investment Trade and Service Joint Stock Company</w:t>
      </w:r>
    </w:p>
    <w:p w14:paraId="0000000C" w14:textId="77777777" w:rsidR="000D2490" w:rsidRPr="00CE7D0A" w:rsidRDefault="00CE7D0A" w:rsidP="00E63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The detailed content of the transaction is as follows:</w:t>
      </w:r>
    </w:p>
    <w:p w14:paraId="0000000D" w14:textId="77777777" w:rsidR="000D2490" w:rsidRPr="00CE7D0A" w:rsidRDefault="00CE7D0A" w:rsidP="00E638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Lending/borrowing limit Maximum VND20 billion.</w:t>
      </w:r>
    </w:p>
    <w:p w14:paraId="0000000E" w14:textId="6BD95D99" w:rsidR="000D2490" w:rsidRPr="00CE7D0A" w:rsidRDefault="00CE7D0A" w:rsidP="00E638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Maximum interest rate: 10%/year (refer to the lending/borrowing interest rate of Joint Stock Commercial Bank for Foreign Trade of Vietnam);</w:t>
      </w:r>
    </w:p>
    <w:p w14:paraId="0000000F" w14:textId="77777777" w:rsidR="000D2490" w:rsidRPr="00CE7D0A" w:rsidRDefault="00CE7D0A" w:rsidP="00E638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For units with temporarily idle money (short-term bank deposits), they will lend to other companies/units in the system on a short-term basis with an interest rate higher than the bank deposit interest rate for the same term, but lower than the bank lending interest rate for the same term;</w:t>
      </w:r>
    </w:p>
    <w:p w14:paraId="00000010" w14:textId="77777777" w:rsidR="000D2490" w:rsidRPr="00CE7D0A" w:rsidRDefault="00CE7D0A" w:rsidP="00E638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For units with short-term capital needs (short-term bank loans), they can borrow from other units in the system on a short-term basis with an interest rate lower than the bank loan interest rate for the same term, but higher than the bank deposit interest rate for the same term;</w:t>
      </w:r>
    </w:p>
    <w:p w14:paraId="00000011" w14:textId="77777777" w:rsidR="000D2490" w:rsidRPr="00CE7D0A" w:rsidRDefault="00CE7D0A" w:rsidP="00E638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The maximum term for lending/borrowing is 06 months;</w:t>
      </w:r>
    </w:p>
    <w:p w14:paraId="00000012" w14:textId="610E4265" w:rsidR="000D2490" w:rsidRPr="00CE7D0A" w:rsidRDefault="00CE7D0A" w:rsidP="00E638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Loan purpose: Supplement capital to expand business, trade, and service activities; Pay for project implementation expenses including the My Dinh ICD Project in Duc Thuong Commune;</w:t>
      </w:r>
    </w:p>
    <w:p w14:paraId="00000013" w14:textId="77777777" w:rsidR="000D2490" w:rsidRPr="00CE7D0A" w:rsidRDefault="00CE7D0A" w:rsidP="00E638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>Expected transaction time: August 2024 - December 2024.</w:t>
      </w:r>
    </w:p>
    <w:p w14:paraId="00000014" w14:textId="30333CF3" w:rsidR="000D2490" w:rsidRPr="00CE7D0A" w:rsidRDefault="00CE7D0A" w:rsidP="00E638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 xml:space="preserve">Article 2. Authorize the </w:t>
      </w:r>
      <w:r w:rsidR="00E638AF">
        <w:rPr>
          <w:rFonts w:ascii="Arial" w:hAnsi="Arial" w:cs="Arial"/>
          <w:color w:val="010000"/>
          <w:sz w:val="20"/>
        </w:rPr>
        <w:t>Managing Director</w:t>
      </w:r>
      <w:r w:rsidRPr="00CE7D0A">
        <w:rPr>
          <w:rFonts w:ascii="Arial" w:hAnsi="Arial" w:cs="Arial"/>
          <w:color w:val="010000"/>
          <w:sz w:val="20"/>
        </w:rPr>
        <w:t xml:space="preserve"> to negotiate, sign, and organize the implementation of the Contract with partners in accordance with the content in Article 1 of this Decision.</w:t>
      </w:r>
    </w:p>
    <w:p w14:paraId="00000015" w14:textId="6FD171E7" w:rsidR="000D2490" w:rsidRPr="00CE7D0A" w:rsidRDefault="00CE7D0A" w:rsidP="00E638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 xml:space="preserve">‎‎Article 3. This </w:t>
      </w:r>
      <w:r w:rsidR="00E638AF">
        <w:rPr>
          <w:rFonts w:ascii="Arial" w:hAnsi="Arial" w:cs="Arial"/>
          <w:color w:val="010000"/>
          <w:sz w:val="20"/>
        </w:rPr>
        <w:t xml:space="preserve">Board </w:t>
      </w:r>
      <w:r w:rsidRPr="00CE7D0A">
        <w:rPr>
          <w:rFonts w:ascii="Arial" w:hAnsi="Arial" w:cs="Arial"/>
          <w:color w:val="010000"/>
          <w:sz w:val="20"/>
        </w:rPr>
        <w:t>Decision takes effect from the date of its signing.</w:t>
      </w:r>
    </w:p>
    <w:p w14:paraId="00000016" w14:textId="0C0DDF1F" w:rsidR="000D2490" w:rsidRPr="00CE7D0A" w:rsidRDefault="00CE7D0A" w:rsidP="00E638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7D0A">
        <w:rPr>
          <w:rFonts w:ascii="Arial" w:hAnsi="Arial" w:cs="Arial"/>
          <w:color w:val="010000"/>
          <w:sz w:val="20"/>
        </w:rPr>
        <w:t xml:space="preserve">The </w:t>
      </w:r>
      <w:r w:rsidR="00E638AF">
        <w:rPr>
          <w:rFonts w:ascii="Arial" w:hAnsi="Arial" w:cs="Arial"/>
          <w:color w:val="010000"/>
          <w:sz w:val="20"/>
        </w:rPr>
        <w:t>Managing Director and relevant units</w:t>
      </w:r>
      <w:r w:rsidRPr="00CE7D0A">
        <w:rPr>
          <w:rFonts w:ascii="Arial" w:hAnsi="Arial" w:cs="Arial"/>
          <w:color w:val="010000"/>
          <w:sz w:val="20"/>
        </w:rPr>
        <w:t xml:space="preserve"> and individuals are responsible for organizing the implementation of this Decision </w:t>
      </w:r>
      <w:r w:rsidR="00E638AF">
        <w:rPr>
          <w:rFonts w:ascii="Arial" w:hAnsi="Arial" w:cs="Arial"/>
          <w:color w:val="010000"/>
          <w:sz w:val="20"/>
        </w:rPr>
        <w:t>under applicable laws</w:t>
      </w:r>
      <w:r w:rsidRPr="00CE7D0A">
        <w:rPr>
          <w:rFonts w:ascii="Arial" w:hAnsi="Arial" w:cs="Arial"/>
          <w:color w:val="010000"/>
          <w:sz w:val="20"/>
        </w:rPr>
        <w:t xml:space="preserve"> and the Company's Charter.</w:t>
      </w:r>
    </w:p>
    <w:sectPr w:rsidR="000D2490" w:rsidRPr="00CE7D0A" w:rsidSect="00CE7D0A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5E47"/>
    <w:multiLevelType w:val="multilevel"/>
    <w:tmpl w:val="133C47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3462369"/>
    <w:multiLevelType w:val="multilevel"/>
    <w:tmpl w:val="6152ED2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0"/>
    <w:rsid w:val="000D2490"/>
    <w:rsid w:val="00CE7D0A"/>
    <w:rsid w:val="00E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F4EDE"/>
  <w15:docId w15:val="{74A9F716-2EA6-4B12-971D-54BD4944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4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tch/N3jhmrTZ5mi8+pbkqqWmA==">CgMxLjA4AHIhMVFrc0QxVFdXUGxEUTVjQ09LS2lVTW1ZODVSa1N0WjQ5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2024-08-27T02:17:00Z</dcterms:created>
  <dcterms:modified xsi:type="dcterms:W3CDTF">2024-08-27T02:17:00Z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ab3234181328187472713a55f03421be98d324493770c81edfcfed7424039522</vt:lpwstr>
  </property>
</Properties>
</file>